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F7" w:rsidRDefault="00C14C03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3543300" cy="16078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9F7" w:rsidRDefault="00C14C03">
      <w:pPr>
        <w:jc w:val="center"/>
        <w:rPr>
          <w:rFonts w:ascii="Gotham Pro Black" w:hAnsi="Gotham Pro Black" w:cs="Gotham Pro Black" w:hint="eastAsia"/>
          <w:b/>
          <w:bCs/>
          <w:sz w:val="40"/>
          <w:szCs w:val="40"/>
          <w:lang w:val="ru-RU"/>
        </w:rPr>
      </w:pPr>
      <w:r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Интегральный рейтинг политической активности парламентских партий в период осенней сессии </w:t>
      </w:r>
    </w:p>
    <w:p w:rsidR="000719F7" w:rsidRDefault="00C14C03">
      <w:pPr>
        <w:jc w:val="center"/>
        <w:rPr>
          <w:b/>
          <w:bCs/>
          <w:sz w:val="40"/>
          <w:szCs w:val="40"/>
          <w:lang w:val="ru-RU"/>
        </w:rPr>
      </w:pPr>
      <w:r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IX созыва Государственной Думы: </w:t>
      </w:r>
    </w:p>
    <w:p w:rsidR="000719F7" w:rsidRDefault="00C14C03">
      <w:pPr>
        <w:jc w:val="center"/>
        <w:rPr>
          <w:i/>
          <w:iCs/>
          <w:lang w:val="ru-RU"/>
        </w:rPr>
      </w:pPr>
      <w:r>
        <w:rPr>
          <w:rFonts w:ascii="Gotham Pro Black" w:hAnsi="Gotham Pro Black" w:cs="Gotham Pro Black"/>
          <w:i/>
          <w:iCs/>
          <w:szCs w:val="28"/>
          <w:lang w:val="ru-RU"/>
        </w:rPr>
        <w:t>4-я неделя осенней сессии. 19 − 25 октября 2026 года</w:t>
      </w:r>
    </w:p>
    <w:p w:rsidR="000719F7" w:rsidRDefault="000719F7">
      <w:pPr>
        <w:jc w:val="center"/>
        <w:rPr>
          <w:lang w:val="ru-RU"/>
        </w:rPr>
      </w:pPr>
    </w:p>
    <w:p w:rsidR="000719F7" w:rsidRDefault="00C14C03">
      <w:pPr>
        <w:spacing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852160" cy="329184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9F7" w:rsidRDefault="00C14C03">
      <w:pPr>
        <w:spacing w:after="200"/>
        <w:jc w:val="center"/>
        <w:rPr>
          <w:lang w:val="ru-RU"/>
        </w:rPr>
      </w:pPr>
      <w:r>
        <w:rPr>
          <w:b/>
          <w:u w:val="single"/>
          <w:lang w:val="ru-RU"/>
        </w:rPr>
        <w:t>Аналитическая записка по итогам оценки активности парламентских партий в четвертую неделю работы Государственной Думы IX созыва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Эксперты Центра исследований политической культуры России (ЦИПКР)</w:t>
      </w:r>
      <w:r>
        <w:rPr>
          <w:lang w:val="ru-RU"/>
        </w:rPr>
        <w:t xml:space="preserve"> по данным «Медиалогии», «Крибрума» и собственного ТВ-мониторинга представляют </w:t>
      </w:r>
      <w:r>
        <w:rPr>
          <w:b/>
          <w:bCs/>
          <w:lang w:val="ru-RU"/>
        </w:rPr>
        <w:t>тридцать второй выпуск мониторинга активности думских партий</w:t>
      </w:r>
      <w:r>
        <w:rPr>
          <w:lang w:val="ru-RU"/>
        </w:rPr>
        <w:t xml:space="preserve"> − четвертый после выборов. Период: 19−25 октября 2026 года, четвертая полная неделя работы Госдумы IX созыва. Интегральный балл − среднее четырех контуров: СМИ, социальные сети, телевидение и повестка, каждый с весом 25%.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lastRenderedPageBreak/>
        <w:t xml:space="preserve">Главное за неделю − информационное поле </w:t>
      </w:r>
      <w:r w:rsidR="00AD53A1">
        <w:rPr>
          <w:b/>
          <w:bCs/>
          <w:lang w:val="ru-RU"/>
        </w:rPr>
        <w:t>«</w:t>
      </w:r>
      <w:r>
        <w:rPr>
          <w:b/>
          <w:bCs/>
          <w:lang w:val="ru-RU"/>
        </w:rPr>
        <w:t>развернулось</w:t>
      </w:r>
      <w:r w:rsidR="00AD53A1">
        <w:rPr>
          <w:b/>
          <w:bCs/>
          <w:lang w:val="ru-RU"/>
        </w:rPr>
        <w:t>»</w:t>
      </w:r>
      <w:r>
        <w:rPr>
          <w:b/>
          <w:bCs/>
          <w:lang w:val="ru-RU"/>
        </w:rPr>
        <w:t>.</w:t>
      </w:r>
      <w:r>
        <w:rPr>
          <w:lang w:val="ru-RU"/>
        </w:rPr>
        <w:t xml:space="preserve"> После трех недель сжатия массив СМИ вырос на 13%, просмотры в соцсетях − в полтора раза, партийный телеэфир − вдвое, до 29 минут 28 секунд, и впервые после выборов оппозиция получила в нем больше половины: доля «Единой России» упала с 97% до 49%. Поле </w:t>
      </w:r>
      <w:r w:rsidR="00AD53A1">
        <w:rPr>
          <w:lang w:val="ru-RU"/>
        </w:rPr>
        <w:t>«</w:t>
      </w:r>
      <w:r>
        <w:rPr>
          <w:lang w:val="ru-RU"/>
        </w:rPr>
        <w:t>развернули</w:t>
      </w:r>
      <w:r w:rsidR="00AD53A1">
        <w:rPr>
          <w:lang w:val="ru-RU"/>
        </w:rPr>
        <w:t>»</w:t>
      </w:r>
      <w:r>
        <w:rPr>
          <w:lang w:val="ru-RU"/>
        </w:rPr>
        <w:t xml:space="preserve"> кадровые перестановки в правительстве − 19−21 октября все пять фракций встречались с кандидатами и голосовали за них, и это дало эфир, сюжеты «России 24» и инфоповоды всем. ЕР по-прежнему первая − 93,10 балла, − но впервые с сентября без трех «соток»: в СМИ по охвату ее обошла КПРФ, в соцсетях по просмотрам − тоже. КПРФ сделала самый большой рывок серии − с 38,32 до 56,87 − и оторвалась от ЛДПР на 10 баллов, но рывок медийный, а не содержательный: охват 112,7 млн и 26,9 млн просмотров партии дали арест лидера коммунистов Коми О.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 и законопроект о возвращении Сталинграда и Ленинграда, а в повестке партия откатилась со второго места на третье. ЛДПР впервые после выборов первая в повестке с отрывом и вторая на телевидении − слет партии вышел в эфир Первого канала. «Новые люди» выросли на 21 балл и п</w:t>
      </w:r>
      <w:r w:rsidR="00AD53A1">
        <w:rPr>
          <w:lang w:val="ru-RU"/>
        </w:rPr>
        <w:t xml:space="preserve">риблизились </w:t>
      </w:r>
      <w:r>
        <w:rPr>
          <w:lang w:val="ru-RU"/>
        </w:rPr>
        <w:t>к «Справедливой России» на 2,78.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1. КЛЮЧЕВЫЕ ВЫВОДЫ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«Единая Россия» − 93,10 балла (+0,18), первое место.</w:t>
      </w:r>
      <w:r>
        <w:rPr>
          <w:lang w:val="ru-RU"/>
        </w:rPr>
        <w:t xml:space="preserve"> Балл почти не изменился, а структура − заметно: 100 только на телевидении, в СМИ − 98,71, в соцсетях − 95,37, в повестке − 78,33 и второе место (было третье). В СМИ партия удержала максимумы по сообщениям (6 803, 65% массива), главной роли и цитированию, но по охвату впервые уступила − 107,8 млн против 112,7 млн у КПРФ. В соцсетях сообщений на 12% меньше, реакций на 21% больше, по просмотрам (22,8 млн) партия вторая после КПРФ. На телевидении − 14 минут 25 секунд, 49% партийного эфира против 97% неделей раньше, все 15 сюжетов «России 24» о перестановках в правительстве с участием партии. В повестке − лучший результат после выборов: бюджет как Народная программа («свыше 18 триллионов»), защита ЦОД, лекарства для онкобольных, маткапитал на строительство дома. </w:t>
      </w:r>
      <w:r>
        <w:rPr>
          <w:i/>
          <w:iCs/>
          <w:lang w:val="ru-RU"/>
        </w:rPr>
        <w:t xml:space="preserve">Отрыв от КПРФ сократился с 54,60 до 36,23 балла − самое резкое сжатие за </w:t>
      </w:r>
      <w:r w:rsidR="00AD53A1">
        <w:rPr>
          <w:i/>
          <w:iCs/>
          <w:lang w:val="ru-RU"/>
        </w:rPr>
        <w:t xml:space="preserve">всю </w:t>
      </w:r>
      <w:r>
        <w:rPr>
          <w:i/>
          <w:iCs/>
          <w:lang w:val="ru-RU"/>
        </w:rPr>
        <w:t>серию.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КПРФ − 56,87 балла (+18,55), второе место.</w:t>
      </w:r>
      <w:r>
        <w:rPr>
          <w:lang w:val="ru-RU"/>
        </w:rPr>
        <w:t xml:space="preserve"> Самый большой прирост за всю серию и лучший результат партии после выборов − но за счет сюжетов, которые партия не выбирала. В СМИ − 47,94 (+15,47) и второе место: охват 112,7 млн − первый в стране, вдвое больше, чем неделю назад; 926 сообщений с главной ролью. В соцсетях − 67,95 (+27,61): 26,9 млн просмотров − максимум среди партий, реакций 489 тыс. − в 2,4 раза больше, чем неделю назад. На телевидении − 41,61 (+36,16): 5 минут 26 секунд эфира, 18% против 3% неделей раньше, 14 сюжетов на «Первом», «России» и НТВ, 6 сюжетов «России 24». Источник роста один − арест О.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 21−23 октября (256 материалов и 37,5 млн аудитории в выгрузке «Крибрум») и законопроект о переименовании Волгограда и Петербурга; вместе они дали больше половины аудитории партии. </w:t>
      </w:r>
      <w:r>
        <w:rPr>
          <w:i/>
          <w:iCs/>
          <w:lang w:val="ru-RU"/>
        </w:rPr>
        <w:t xml:space="preserve">Обратная сторона − тональность: в </w:t>
      </w:r>
      <w:r>
        <w:rPr>
          <w:i/>
          <w:iCs/>
          <w:lang w:val="ru-RU"/>
        </w:rPr>
        <w:lastRenderedPageBreak/>
        <w:t>СМИ 39,58% позитива, худшая за серию (171 негативное сообщение против 112), в соцсетях негатива в пять раз больше позитива.</w:t>
      </w:r>
      <w:r>
        <w:rPr>
          <w:lang w:val="ru-RU"/>
        </w:rPr>
        <w:t xml:space="preserve"> В повестке − 70,00 (−5,00) и третье место: законопроекты выходили (тарифы ЖКУ не чаще раза в год, возврат НДФЛ семьям с одним ребенком, конфискованные машины − больницам), но по четырем темам из девяти партия на «тройке», по СВО и миграции − пусто, а тарифный законопроект собрал 0,2 млн аудитории.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ЛДПР − 46,79 балла (+11,26), третье место.</w:t>
      </w:r>
      <w:r>
        <w:rPr>
          <w:lang w:val="ru-RU"/>
        </w:rPr>
        <w:t xml:space="preserve"> Партия прибавила в трех контурах из четырех и впервые после выборов стала единоличным лидером повестки − 80,00, максимум серии: пять максимумов по темам (миграция, ЖКХ, образование, социальная справедливость, СВО) и лучшая база − 35 из 45. На телевидении − второе место (42,71): Всероссийский слет партии 23−25 октября вышел в эфир Первого канала и двумя сюжетами на «России 24», всего 3 минуты 19 секунд эфира против нуля неделей раньше, 10 сюжетов «России 24». В СМИ − 37,53 (+2,37), но третье место: КПРФ обошла по охвату и главной роли, зато у ЛДПР лучшие в оппозиции МедиаИндекс (21 073) и тональность (90,35%). Единственный минус − соцсети: 26,90, четвертое место, партию обошла «Справедливая Россия» с ее тиражной сетью; просмотры при этом выросли на 28%.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«Справедливая Россия» − 38,00 балла (+10,35), четвертое место.</w:t>
      </w:r>
      <w:r>
        <w:rPr>
          <w:lang w:val="ru-RU"/>
        </w:rPr>
        <w:t xml:space="preserve"> </w:t>
      </w:r>
      <w:r w:rsidR="00AD53A1">
        <w:rPr>
          <w:lang w:val="ru-RU"/>
        </w:rPr>
        <w:t>«</w:t>
      </w:r>
      <w:r>
        <w:rPr>
          <w:lang w:val="ru-RU"/>
        </w:rPr>
        <w:t>Отскок</w:t>
      </w:r>
      <w:r w:rsidR="00AD53A1">
        <w:rPr>
          <w:lang w:val="ru-RU"/>
        </w:rPr>
        <w:t>»</w:t>
      </w:r>
      <w:r>
        <w:rPr>
          <w:lang w:val="ru-RU"/>
        </w:rPr>
        <w:t xml:space="preserve"> от минима</w:t>
      </w:r>
      <w:r w:rsidR="00AD53A1">
        <w:rPr>
          <w:lang w:val="ru-RU"/>
        </w:rPr>
        <w:t>льных значений всей</w:t>
      </w:r>
      <w:r>
        <w:rPr>
          <w:lang w:val="ru-RU"/>
        </w:rPr>
        <w:t xml:space="preserve"> серии, но с худшим соотношением «объем − отдача». В соцсетях партия поднялась на третье место (32,18): 80,9 тыс. сообщений − второй объем после ЕР, рост на 61%, − но 1,28 реакции на сообщение (худший показатель) и 12,58% позитива: пост С. Миронова о 20-летии партии разошелся по сети пабликов на 8,7 тыс. аккаунтов. В повестке − 68,33 (+3,33), четвертое место, четыре максимума по темам (здравоохранение, демография, образование, СВО) и слабый ситуативный блок. На телевидении − 2 минуты 46 секунд, 25,06 балла, последнее место. В СМИ − 26,43, тоже последнее место: 939 сообщений (−25%), охват 56,6 млн − минимальный среди партий.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«Новые люди» − 35,22 балла (+21,22), пятое место.</w:t>
      </w:r>
      <w:r>
        <w:rPr>
          <w:lang w:val="ru-RU"/>
        </w:rPr>
        <w:t xml:space="preserve"> Второй по величине прирост недели после КПРФ и выход из зоны минимумов: 14,00 → 35,22, отставание от четвертого места сжалось с 13,65 до 2,78 балла. На телевидении − 39,75, четвертое место: предложения Минфину о пополнении бюджета дали партии собственный инфоповод и 3 минуты 32 секунды эфира − больше, чем у ЛДПР и СР. В СМИ − 32,92 (+17,75) и четвертое место: охват 96,4 млн − третий в стране при 720 сообщениях, за счет консультаций с кандидатами в правительство (РБК, РИА Новости) и проверки спортивного питания. В повестке − 55,00 (+21,67), лучший результат серии: три максимума (здравоохранение, социальная справедливость, экология). Соцсети − по-прежнему последнее место (13,22), но массив удвоился, а отдача на сообщение осталась лучшей (995 просмотров, 12,9 реакции).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lastRenderedPageBreak/>
        <w:t>2. ИТОГОВЫЙ ИНТЕГРАЛЬНЫЙ РЕЙТИНГ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1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Итоговый интегральный рейтинг, 32-я неделя (19−25 октября 2026 г.)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900"/>
        <w:gridCol w:w="2051"/>
        <w:gridCol w:w="1000"/>
        <w:gridCol w:w="1101"/>
        <w:gridCol w:w="1000"/>
        <w:gridCol w:w="1199"/>
        <w:gridCol w:w="1351"/>
        <w:gridCol w:w="1032"/>
      </w:tblGrid>
      <w:tr w:rsidR="000719F7">
        <w:trPr>
          <w:cantSplit/>
          <w:tblHeader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СМИ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Соцсети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ТВ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Повестка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Интеграл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Δ к 31-й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98,71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95,37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78,33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93,10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+0,18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47,94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67,95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41,61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70,00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56,87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+18,55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37,53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26,90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42,71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80,00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46,79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+11,26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26,43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32,18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25,06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68,33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38,00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+10,35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32,92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13,22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39,75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55,00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35,22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+21,22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>
        <w:rPr>
          <w:b/>
          <w:bCs/>
          <w:lang w:val="ru-RU"/>
        </w:rPr>
        <w:t>Места не изменились ни у одной партии</w:t>
      </w:r>
      <w:r>
        <w:rPr>
          <w:lang w:val="ru-RU"/>
        </w:rPr>
        <w:t xml:space="preserve"> − четвертую неделю подряд, но впервые за серию балл вырос у всех пяти, и у четырех − на 10 баллов и больше. Коридор оппозиции раздвинулся: от второго до пятого места теперь 21,65 балла против 24,32 неделей раньше, но внутри него КПРФ ушла вперед (56,87), а три остальные партии сгрудились между 35 и 47. ЕР впервые за послевыборный период без единого «чистого» максимума в СМИ и соцсетях.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2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Динамика интегрального балла по неделям</w:t>
      </w:r>
    </w:p>
    <w:tbl>
      <w:tblPr>
        <w:tblW w:w="994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2011"/>
        <w:gridCol w:w="699"/>
        <w:gridCol w:w="701"/>
        <w:gridCol w:w="699"/>
        <w:gridCol w:w="600"/>
        <w:gridCol w:w="701"/>
        <w:gridCol w:w="699"/>
        <w:gridCol w:w="701"/>
        <w:gridCol w:w="760"/>
        <w:gridCol w:w="2373"/>
      </w:tblGrid>
      <w:tr w:rsidR="000719F7" w:rsidTr="00AD53A1">
        <w:trPr>
          <w:cantSplit/>
          <w:tblHeader/>
          <w:jc w:val="center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Партия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25-я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26-я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27-я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28-я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29-я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30-я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31-я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32-я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Оценка тренда</w:t>
            </w:r>
          </w:p>
        </w:tc>
      </w:tr>
      <w:tr w:rsidR="000719F7" w:rsidTr="00AD53A1">
        <w:trPr>
          <w:cantSplit/>
          <w:jc w:val="center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«Единая Россия»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92,9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95,35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90,74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91,35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93,33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92,92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93,10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Стабильное доминирование</w:t>
            </w:r>
          </w:p>
        </w:tc>
      </w:tr>
      <w:tr w:rsidR="000719F7" w:rsidRPr="00933A4C" w:rsidTr="00AD53A1">
        <w:trPr>
          <w:cantSplit/>
          <w:jc w:val="center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КПРФ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46,4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56,97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56,60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51,32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45,58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38,32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56,87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Pr="00AD53A1" w:rsidRDefault="00C14C03">
            <w:pPr>
              <w:spacing w:before="40" w:after="40"/>
              <w:jc w:val="left"/>
              <w:rPr>
                <w:lang w:val="ru-RU"/>
              </w:rPr>
            </w:pPr>
            <w:r>
              <w:rPr>
                <w:sz w:val="22"/>
                <w:lang w:val="ru-RU"/>
              </w:rPr>
              <w:t>Рывок после трех недель спада − на медийных контурах</w:t>
            </w:r>
          </w:p>
        </w:tc>
      </w:tr>
      <w:tr w:rsidR="000719F7" w:rsidTr="00AD53A1">
        <w:trPr>
          <w:cantSplit/>
          <w:jc w:val="center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ЛДПР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41,6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50,27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49,80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45,93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41,75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35,53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46,79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Отскок, лидер повестки</w:t>
            </w:r>
          </w:p>
        </w:tc>
      </w:tr>
      <w:tr w:rsidR="000719F7" w:rsidTr="00AD53A1">
        <w:trPr>
          <w:cantSplit/>
          <w:jc w:val="center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«Справедливая Россия»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29,1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41,26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40,14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44,14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37,82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27,65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38,00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Отскок от минимума серии</w:t>
            </w:r>
          </w:p>
        </w:tc>
      </w:tr>
      <w:tr w:rsidR="000719F7" w:rsidRPr="00933A4C" w:rsidTr="00AD53A1">
        <w:trPr>
          <w:cantSplit/>
          <w:jc w:val="center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«Новые люди»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31,4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41,19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35,04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30,03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19,19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14,00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35,22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Pr="00AD53A1" w:rsidRDefault="00C14C03">
            <w:pPr>
              <w:spacing w:before="40" w:after="40"/>
              <w:jc w:val="left"/>
              <w:rPr>
                <w:lang w:val="ru-RU"/>
              </w:rPr>
            </w:pPr>
            <w:r>
              <w:rPr>
                <w:sz w:val="22"/>
                <w:lang w:val="ru-RU"/>
              </w:rPr>
              <w:t>Отскок от минимума серии, +21 балл</w:t>
            </w:r>
          </w:p>
        </w:tc>
      </w:tr>
    </w:tbl>
    <w:p w:rsidR="000719F7" w:rsidRPr="00AD53A1" w:rsidRDefault="00C14C03">
      <w:pPr>
        <w:spacing w:before="60"/>
        <w:ind w:firstLine="720"/>
        <w:rPr>
          <w:lang w:val="ru-RU"/>
        </w:rPr>
      </w:pPr>
      <w:r>
        <w:rPr>
          <w:i/>
          <w:iCs/>
          <w:lang w:val="ru-RU"/>
        </w:rPr>
        <w:t>28-я неделя (21−27 сентября) − подведение итогов голосования, интегральный рейтинг не формировался.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lastRenderedPageBreak/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3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Межпартийные разрывы по интегральному баллу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3400"/>
        <w:gridCol w:w="1801"/>
        <w:gridCol w:w="1800"/>
        <w:gridCol w:w="2633"/>
      </w:tblGrid>
      <w:tr w:rsidR="000719F7">
        <w:trPr>
          <w:cantSplit/>
          <w:tblHeader/>
          <w:jc w:val="center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Сравниваемые позиции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32-я неделя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Изменение</w:t>
            </w:r>
          </w:p>
        </w:tc>
      </w:tr>
      <w:tr w:rsidR="000719F7">
        <w:trPr>
          <w:cantSplit/>
          <w:jc w:val="center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ЕР − КПРФ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54,60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36,23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−18,37</w:t>
            </w:r>
          </w:p>
        </w:tc>
      </w:tr>
      <w:tr w:rsidR="000719F7">
        <w:trPr>
          <w:cantSplit/>
          <w:jc w:val="center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КПРФ − ЛДПР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2,79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10,08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+7,29</w:t>
            </w:r>
          </w:p>
        </w:tc>
      </w:tr>
      <w:tr w:rsidR="000719F7">
        <w:trPr>
          <w:cantSplit/>
          <w:jc w:val="center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ЛДПР − СР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7,88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8,79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+0,91</w:t>
            </w:r>
          </w:p>
        </w:tc>
      </w:tr>
      <w:tr w:rsidR="000719F7">
        <w:trPr>
          <w:cantSplit/>
          <w:jc w:val="center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СР − НЛ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13,65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2,78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−10,87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>
        <w:rPr>
          <w:lang w:val="ru-RU"/>
        </w:rPr>
        <w:t xml:space="preserve">Отрыв «Единой России» от КПРФ сократился на 18,37 балла за неделю − больше, чем весь </w:t>
      </w:r>
      <w:r w:rsidR="00AD53A1">
        <w:rPr>
          <w:lang w:val="ru-RU"/>
        </w:rPr>
        <w:t xml:space="preserve">рост за </w:t>
      </w:r>
      <w:r>
        <w:rPr>
          <w:lang w:val="ru-RU"/>
        </w:rPr>
        <w:t>предыдущий послевыборный период. Причина не в ЕР, которая осталась на месте, а в медийном всплеске вокруг КПРФ. Второе место, которое неделю назад держалось на 2,79 балла, теперь закреплено с запасом в 10,08. Нижняя половина таблицы сжалась: СР и «Новы</w:t>
      </w:r>
      <w:r w:rsidR="00175834">
        <w:rPr>
          <w:lang w:val="ru-RU"/>
        </w:rPr>
        <w:t>х</w:t>
      </w:r>
      <w:r>
        <w:rPr>
          <w:lang w:val="ru-RU"/>
        </w:rPr>
        <w:t xml:space="preserve"> люд</w:t>
      </w:r>
      <w:r w:rsidR="00175834">
        <w:rPr>
          <w:lang w:val="ru-RU"/>
        </w:rPr>
        <w:t>ей</w:t>
      </w:r>
      <w:r>
        <w:rPr>
          <w:lang w:val="ru-RU"/>
        </w:rPr>
        <w:t xml:space="preserve">» разделяют 2,78 балла − </w:t>
      </w:r>
      <w:r w:rsidR="00175834">
        <w:rPr>
          <w:lang w:val="ru-RU"/>
        </w:rPr>
        <w:t>четвер</w:t>
      </w:r>
      <w:r>
        <w:rPr>
          <w:lang w:val="ru-RU"/>
        </w:rPr>
        <w:t>тое место снова оспаривается.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3. КТО ГДЕ ЛИДИРУЕТ: КОНФИГУРАЦИЯ ПО КОНТУРАМ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4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Распределение мест по контурам, 32-я неделя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1835"/>
        <w:gridCol w:w="1560"/>
        <w:gridCol w:w="1559"/>
        <w:gridCol w:w="1560"/>
        <w:gridCol w:w="1561"/>
        <w:gridCol w:w="1559"/>
      </w:tblGrid>
      <w:tr w:rsidR="000719F7">
        <w:trPr>
          <w:cantSplit/>
          <w:tblHeader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Контур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1-е место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2-е место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3-е место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4-е место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5-е место</w:t>
            </w:r>
          </w:p>
        </w:tc>
      </w:tr>
      <w:tr w:rsidR="000719F7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2"/>
                <w:lang w:val="ru-RU"/>
              </w:rPr>
              <w:t>СМИ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− 98,71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− 47,94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− 37,53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− 32,92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− 26,43</w:t>
            </w:r>
          </w:p>
        </w:tc>
      </w:tr>
      <w:tr w:rsidR="000719F7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2"/>
                <w:lang w:val="ru-RU"/>
              </w:rPr>
              <w:t>Социальные сети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− 95,37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− 67,95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− 32,18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− 26,90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− 13,22</w:t>
            </w:r>
          </w:p>
        </w:tc>
      </w:tr>
      <w:tr w:rsidR="000719F7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2"/>
                <w:lang w:val="ru-RU"/>
              </w:rPr>
              <w:t>Телевидение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− 100,00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− 42,71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− 41,61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− 39,75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− 25,06</w:t>
            </w:r>
          </w:p>
        </w:tc>
      </w:tr>
      <w:tr w:rsidR="000719F7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2"/>
                <w:lang w:val="ru-RU"/>
              </w:rPr>
              <w:t>Повестка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− 80,00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− 78,33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− 70,00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− 68,33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− 55,00</w:t>
            </w:r>
          </w:p>
        </w:tc>
      </w:tr>
      <w:tr w:rsidR="000719F7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2"/>
                <w:lang w:val="ru-RU"/>
              </w:rPr>
              <w:t>Интегральный рейтинг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ЕР − 93,10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КПРФ − 56,87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ЛДПР − 46,79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СР − 38,00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2"/>
                <w:lang w:val="ru-RU"/>
              </w:rPr>
              <w:t>НЛ − 35,22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>
        <w:rPr>
          <w:lang w:val="ru-RU"/>
        </w:rPr>
        <w:t xml:space="preserve">Впервые за серию у каждого контура свой состав мест. В СМИ и соцсетях вторая − КПРФ, на телевидении − ЛДПР, в повестке первая − ЛДПР, вторая − ЕР. Четвертое место в трех контурах из четырех занимают «Новые люди», а «Справедливая Россия» в трех контурах последняя − только соцсети вытягивают ее вверх. </w:t>
      </w:r>
      <w:r>
        <w:rPr>
          <w:b/>
          <w:bCs/>
          <w:lang w:val="ru-RU"/>
        </w:rPr>
        <w:t>Развилка «медийный вес − содержательная инициативность» сохранилась и стала резче:</w:t>
      </w:r>
      <w:r>
        <w:rPr>
          <w:lang w:val="ru-RU"/>
        </w:rPr>
        <w:t xml:space="preserve"> КПРФ на этой неделе первая в оппозиции во всех трех медийных контурах и третья в повестке, ЛДПР − первая в повестке и четвертая в соцсетях.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I. ТРАДИЦИОННЫЕ СМИ</w:t>
      </w:r>
    </w:p>
    <w:p w:rsidR="000719F7" w:rsidRDefault="00C14C03">
      <w:pPr>
        <w:ind w:firstLine="720"/>
      </w:pPr>
      <w:r>
        <w:rPr>
          <w:lang w:val="ru-RU"/>
        </w:rPr>
        <w:t>Массив «Медиалогии» за неделю − 10 378 сообщений против 9 190 неделей раньше (+12,9%). Поле выросло впервые за три недели: перестановки в правительстве, арест О.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, слет ЛДПР. Распределение максимумов изменилось: у «Единой России» − сообщения, главная роль, цитирование и </w:t>
      </w:r>
      <w:r>
        <w:rPr>
          <w:lang w:val="ru-RU"/>
        </w:rPr>
        <w:lastRenderedPageBreak/>
        <w:t>МедиаИндекс, у КПРФ − охват. Внутри оппозиции сменился лидер: КПРФ вернула второе место, ЛДПР − третья, «Новые люди» обошли «Справедливую Россию».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5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СМИ-рейтинг: 32-я и 31-я недели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900"/>
        <w:gridCol w:w="2435"/>
        <w:gridCol w:w="1500"/>
        <w:gridCol w:w="1500"/>
        <w:gridCol w:w="1500"/>
        <w:gridCol w:w="1799"/>
      </w:tblGrid>
      <w:tr w:rsidR="000719F7">
        <w:trPr>
          <w:cantSplit/>
          <w:tblHeader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Δ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Место: было → стало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98,71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−1,29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47,94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32,47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+15,47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2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37,53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35,16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+2,37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3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32,92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15,17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+17,75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4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26,43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22,62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+3,81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5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>
        <w:rPr>
          <w:b/>
          <w:bCs/>
          <w:lang w:val="ru-RU"/>
        </w:rPr>
        <w:t>«Единая Россия» − 98,71 (−1,29).</w:t>
      </w:r>
      <w:r>
        <w:rPr>
          <w:lang w:val="ru-RU"/>
        </w:rPr>
        <w:t xml:space="preserve"> 6 803 сообщения − 65,6% массива, 3 027 с главной ролью, 2 939 цитирований, МедиаИндекс 46 113 − все максимумы, кроме охвата: 107,8 млн против 163,9 млн неделей раньше (−34%) и против 112,7 млн у КПРФ. Сообщений стало больше на 8,5%, главной роли − на 21%, но без «тяжелых» площадок: главные сюжеты недели − поддержка кандидатов в кабмин, 18 трлн на Народную программу, съезд 5 декабря − прошли через РИА Новости, ТАСС и «Коммерсантъ» без выхода в топ по аудитории. </w:t>
      </w:r>
      <w:r>
        <w:rPr>
          <w:i/>
          <w:iCs/>
          <w:lang w:val="ru-RU"/>
        </w:rPr>
        <w:t>Тональность 95,9%: на 1 100 позитивных сообщений 47 негативных.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КПРФ − 47,94 (+15,47).</w:t>
      </w:r>
      <w:r>
        <w:rPr>
          <w:lang w:val="ru-RU"/>
        </w:rPr>
        <w:t xml:space="preserve"> Второе место − впервые за три недели, и единственный максимум в оппозиции: охват 112,7 млн (+76% к прошлой неделе) − больше, чем у ЕР. 1 911 сообщений, 926 с главной ролью (+31%), 924 цитирования, вовлеченность 35 910 − вторая после ЕР. Охват сделали РБК, Lenta.ru, «Коммерсантъ», «Ведомости», ТАСС, федеральные каналы − и почти все о задержании и аресте О.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; второй сюжет по охвату − законопроект о переименовании Волгограда и Петербурга (РИА Новости, МК, «Коммерсантъ»). </w:t>
      </w:r>
      <w:r>
        <w:rPr>
          <w:i/>
          <w:iCs/>
          <w:lang w:val="ru-RU"/>
        </w:rPr>
        <w:t>Тональность 39,58% − худшая среди партий и худшая за серию: 171 негативное сообщение против 112 позитивных.</w:t>
      </w:r>
      <w:r>
        <w:rPr>
          <w:lang w:val="ru-RU"/>
        </w:rPr>
        <w:t xml:space="preserve"> МедиаИндекс (17 791) ниже, чем у ЛДПР.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ЛДПР − 37,53 (+2,37).</w:t>
      </w:r>
      <w:r>
        <w:rPr>
          <w:lang w:val="ru-RU"/>
        </w:rPr>
        <w:t xml:space="preserve"> Балл вырос, но место − третье: по сообщениям (1 430, −14%) и главной роли (669) партия уступает КПРФ, охват снизился с 79,4 до 72,2 млн. При этом лучшие в оппозиции МедиаИндекс (21 073) и тональность (90,35% − 103 позитивных против 11 негативных), 914 цитирований − почти столько же, сколько у КПРФ. Главные сюжеты − слет партии, гражданство за восемь лет, запрет МФО, омбудсмен по ветеранам СВО.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«Новые люди» − 32,92 (+17,75).</w:t>
      </w:r>
      <w:r>
        <w:rPr>
          <w:lang w:val="ru-RU"/>
        </w:rPr>
        <w:t xml:space="preserve"> Самый большой прирост в контуре и подъем с пятого места на четвертое. 720 сообщений − по-прежнему меньше всех, но охват 96,4 млн − третий среди партий (неделю назад 28,6 млн): фракция первой встретилась с кандидатами в правительство (РБК, РИА Новости, «Коммерсантъ»), </w:t>
      </w:r>
      <w:r>
        <w:rPr>
          <w:lang w:val="ru-RU"/>
        </w:rPr>
        <w:lastRenderedPageBreak/>
        <w:t>плюс спортивное питание, вычет за психолога, предложения Минфину. Тональность 91,67% − лучшая после ЕР.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«Справедливая Россия» − 26,43 (+3,81).</w:t>
      </w:r>
      <w:r>
        <w:rPr>
          <w:lang w:val="ru-RU"/>
        </w:rPr>
        <w:t xml:space="preserve"> Балл вырос, но партия опустилась на последнее место: 939 сообщений (−25%), 379 с главной ролью, 568 цитирований − четвертые показатели, но охват 56,6 млн − минимальный среди партий, вдвое меньше, чем у ЕР и КПРФ, и меньше, чем у «Новых людей». Тональность снизилась до 68,52% (37 позитивных против 17 негативных). Инициативы С. Миронова (аренда жилья, подготовка к ЕГЭ, месячный запас лекарств) выходили, но без второй волны перепечаток.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II. СОЦИАЛЬНЫЕ СЕТИ</w:t>
      </w:r>
    </w:p>
    <w:p w:rsidR="000719F7" w:rsidRPr="00AD53A1" w:rsidRDefault="00C14C03">
      <w:pPr>
        <w:ind w:firstLine="720"/>
        <w:rPr>
          <w:lang w:val="ru-RU"/>
        </w:rPr>
      </w:pPr>
      <w:r>
        <w:rPr>
          <w:lang w:val="ru-RU"/>
        </w:rPr>
        <w:t>Общий массив − 242,6 тыс. сообщений (+5,2%), 56,1 тыс. авторов (−5,2%), 76,6 млн просмотров (+46%), 1,48 млн реакций (+48%). Просмотры и реакции выросли в полтора раза при почти прежнем числе сообщений − поле стало резонансным: меньше авторов, больше откликов. Главный источник прироста − КПРФ, чьи просмотры выросли в 2,5 раза, и «Справедливая Россия», удвоившая тираж.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6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Рейтинг социальных сетей: 32-я и 31-я недели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900"/>
        <w:gridCol w:w="2435"/>
        <w:gridCol w:w="1500"/>
        <w:gridCol w:w="1500"/>
        <w:gridCol w:w="1500"/>
        <w:gridCol w:w="1799"/>
      </w:tblGrid>
      <w:tr w:rsidR="000719F7">
        <w:trPr>
          <w:cantSplit/>
          <w:tblHeader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Δ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Место: было → стало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95,37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−4,63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67,95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40,34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+27,61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2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32,18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21,30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+10,88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3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26,90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26,97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−0,07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4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13,22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7,48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+5,74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5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>
        <w:rPr>
          <w:b/>
          <w:bCs/>
          <w:lang w:val="ru-RU"/>
        </w:rPr>
        <w:t>«Единая Россия» − 95,37 (−4,63).</w:t>
      </w:r>
      <w:r>
        <w:rPr>
          <w:lang w:val="ru-RU"/>
        </w:rPr>
        <w:t xml:space="preserve"> Максимумы по сообщениям (124,9 тыс.), авторам (40,9 тыс.) и реакциям (629,9 тыс., +21%), но не по просмотрам: 22,8 млн против 26,9 млн у КПРФ (−7% к прошлой неделе). Первый случай за серию, когда партия не набрала 100 в контуре. Тональность улучшилась − 39,37% позитива против 23,13% неделей раньше, негативных сообщений по-прежнему больше (3 821 против 2 481).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КПРФ − 67,95 (+27,61).</w:t>
      </w:r>
      <w:r>
        <w:rPr>
          <w:lang w:val="ru-RU"/>
        </w:rPr>
        <w:t xml:space="preserve"> Второе место с отрывом от третьего в 35,77 балла и максимум по просмотрам − 26,9 млн, в 2,5 раза больше, чем неделю назад; реакций 489 тыс. (×2,4), 16,5 тыс. авторов. Отдача на сообщение − 709 просмотров и 12,9 реакции против 235 и 4,3 неделей раньше. Контент всплеска − новостной: задержание и арест О.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 (2,4 млн просмотров в выгрузке «Крибрум»), переименование городов, «ЕР не голосовала за три социальных законопроекта». </w:t>
      </w:r>
      <w:r>
        <w:rPr>
          <w:i/>
          <w:iCs/>
          <w:lang w:val="ru-RU"/>
        </w:rPr>
        <w:lastRenderedPageBreak/>
        <w:t>Тональность 16,02% позитива − 1 054 негативных сообщения против 201 позитивного, негатива впятеро больше.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«Справедливая Россия» − 32,18 (+10,88).</w:t>
      </w:r>
      <w:r>
        <w:rPr>
          <w:lang w:val="ru-RU"/>
        </w:rPr>
        <w:t xml:space="preserve"> Поднялась с четвертого места на третье за счет объема: 80,9 тыс. сообщений (+61%) − второй массив после ЕР, 11,2 млн просмотров (+75%), 103,5 тыс. реакций. Но авторов всего 8,2 тыс., отдача − 1,28 реакции на сообщение, худшая среди партий: массив делает сеть пабликов «ВКонтакте», на которую пост о 20-летии партии разошелся 8,7 тыс. раз. </w:t>
      </w:r>
      <w:r>
        <w:rPr>
          <w:i/>
          <w:iCs/>
          <w:lang w:val="ru-RU"/>
        </w:rPr>
        <w:t>Тональность упала до 12,58% − 285 негативных сообщений против 41 позитивного.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ЛДПР − 26,90 (−0,07).</w:t>
      </w:r>
      <w:r>
        <w:rPr>
          <w:lang w:val="ru-RU"/>
        </w:rPr>
        <w:t xml:space="preserve"> Опустилась на четвертое место при росте показателей: просмотры +28% (до 10,0 млн), реакции +7% (182,7 тыс.), 8,1 тыс. авторов. Отдача хорошая − 550 просмотров и 10,1 реакции на сообщение, тональность 77,49% − лучшая среди крупных партий. Подвел масштаб: 18,1 тыс. сообщений − вдвое меньше, чем у КПРФ, вчетверо меньше, чем у СР.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«Новые люди» − 13,22 (+5,74).</w:t>
      </w:r>
      <w:r>
        <w:rPr>
          <w:lang w:val="ru-RU"/>
        </w:rPr>
        <w:t xml:space="preserve"> Массив удвоился − 5,8 тыс. сообщений, 4,2 тыс. авторов, 5,75 млн просмотров (×2,1), 74,6 тыс. реакций. По-прежнему лучшая отдача (995 просмотров и 12,9 реакции на сообщение) и лучшая тональность − 84,38%. Главный сюжет − «блатные» </w:t>
      </w:r>
      <w:r w:rsidR="00175834">
        <w:rPr>
          <w:lang w:val="ru-RU"/>
        </w:rPr>
        <w:t xml:space="preserve">автомобильные </w:t>
      </w:r>
      <w:r>
        <w:rPr>
          <w:lang w:val="ru-RU"/>
        </w:rPr>
        <w:t>номера после поручения В. Володина.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7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Отдача на одно сообщение и тональность в социальных сетях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2634"/>
        <w:gridCol w:w="2335"/>
        <w:gridCol w:w="2332"/>
        <w:gridCol w:w="2333"/>
      </w:tblGrid>
      <w:tr w:rsidR="000719F7">
        <w:trPr>
          <w:cantSplit/>
          <w:tblHeader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Реакций на сообщение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Просмотров на сообщение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Доля позитива</w:t>
            </w:r>
          </w:p>
        </w:tc>
      </w:tr>
      <w:tr w:rsidR="000719F7">
        <w:trPr>
          <w:cantSplit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12,90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995,4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84,38%</w:t>
            </w:r>
          </w:p>
        </w:tc>
      </w:tr>
      <w:tr w:rsidR="000719F7">
        <w:trPr>
          <w:cantSplit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12,88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708,5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16,02%</w:t>
            </w:r>
          </w:p>
        </w:tc>
      </w:tr>
      <w:tr w:rsidR="000719F7">
        <w:trPr>
          <w:cantSplit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10,09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550,3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77,49%</w:t>
            </w:r>
          </w:p>
        </w:tc>
      </w:tr>
      <w:tr w:rsidR="000719F7">
        <w:trPr>
          <w:cantSplit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5,04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182,2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39,37%</w:t>
            </w:r>
          </w:p>
        </w:tc>
      </w:tr>
      <w:tr w:rsidR="000719F7">
        <w:trPr>
          <w:cantSplit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1,28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138,9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12,58%</w:t>
            </w:r>
          </w:p>
        </w:tc>
      </w:tr>
    </w:tbl>
    <w:p w:rsidR="000719F7" w:rsidRDefault="00C14C03">
      <w:pPr>
        <w:keepNext/>
        <w:spacing w:before="240"/>
        <w:jc w:val="left"/>
      </w:pPr>
      <w:r>
        <w:rPr>
          <w:b/>
          <w:bCs/>
          <w:sz w:val="30"/>
          <w:szCs w:val="30"/>
          <w:u w:val="single"/>
          <w:lang w:val="ru-RU"/>
        </w:rPr>
        <w:t>III. ТЕЛЕВИДЕНИЕ</w:t>
      </w:r>
    </w:p>
    <w:p w:rsidR="000719F7" w:rsidRPr="00AD53A1" w:rsidRDefault="00C14C03">
      <w:pPr>
        <w:ind w:firstLine="720"/>
        <w:rPr>
          <w:lang w:val="ru-RU"/>
        </w:rPr>
      </w:pPr>
      <w:r>
        <w:rPr>
          <w:lang w:val="ru-RU"/>
        </w:rPr>
        <w:t>Телевидение открылось для оппозиции − на одну неделю и по одному поводу. Пять центральных каналов отдали партиям 29 минут 28 секунд новостного эфира против 16 минут 24 секунд неделей раньше (+80%), прямой речи − 16 минут 11 секунд против 10 минут 15 секунд. Доля «Единой России» упала с 96,7% до 48,9%: все пять фракций встречались с кандидатами в правительство и голосовали за них, и каждая получила эфир и синхрон. КПРФ − 5 минут 26 секунд (18,4%), «Новые люди» − 3 минуты 32 секунды (12,0%), ЛДПР − 3 минуты 19 секунд (11,3%), «Справедливая Россия» − 2 минуты 46 секунд (9,4%). На «России 24» − 21 сюжет с упоминанием партий против 6 неделей раньше.</w:t>
      </w:r>
    </w:p>
    <w:p w:rsidR="000719F7" w:rsidRPr="00AD53A1" w:rsidRDefault="00C14C03">
      <w:pPr>
        <w:spacing w:before="60"/>
        <w:ind w:firstLine="720"/>
        <w:rPr>
          <w:lang w:val="ru-RU"/>
        </w:rPr>
      </w:pPr>
      <w:r>
        <w:rPr>
          <w:i/>
          <w:iCs/>
          <w:lang w:val="ru-RU"/>
        </w:rPr>
        <w:lastRenderedPageBreak/>
        <w:t>Методологическое уточнение. Число сюжетов «России 24» взято по поэпизодному списку в приложении к хронометражу: ЕР − 15, ЛДПР − 10, КПРФ − 6, СР − 4, «Новые люди» − 4. В сводной таблице хронометража значения ЛДПР и СР стоят наоборот (СР − 10, ЛДПР − 4); по списку сюжетов ЛДПР присутствует в десяти (слет партии − два отдельных сюжета, остальное − перестановки в правительстве), СР − в четырех. Коэффициент 0,5 для партий без эфира на центральных каналах на этой неделе не применялся − эфир есть у всех пяти.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8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ТВ-рейтинг: 32-я и 31-я недели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900"/>
        <w:gridCol w:w="2435"/>
        <w:gridCol w:w="1500"/>
        <w:gridCol w:w="1500"/>
        <w:gridCol w:w="1500"/>
        <w:gridCol w:w="1799"/>
      </w:tblGrid>
      <w:tr w:rsidR="000719F7">
        <w:trPr>
          <w:cantSplit/>
          <w:tblHeader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Δ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Место: было → стало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42,71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+37,71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2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41,61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5,45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+36,16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3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39,75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+39,75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4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25,06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1,67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+23,39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5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>
        <w:rPr>
          <w:b/>
          <w:bCs/>
          <w:lang w:val="ru-RU"/>
        </w:rPr>
        <w:t>«Единая Россия» − 100,00.</w:t>
      </w:r>
      <w:r>
        <w:rPr>
          <w:lang w:val="ru-RU"/>
        </w:rPr>
        <w:t xml:space="preserve"> 865 секунд эфира (48,9%), 522 секунды прямой речи (53,8%), четыре инфоповода − перестановки в правительстве, консультации фракций, утверждение вице-премьеров и министра транспорта, XIX Цифровой форум, − и 15 из 21 сюжета «России 24». Все максимумы на месте, но абсолютный объем снизился: неделю назад у партии было 952 секунды и 96,7% эфира. </w:t>
      </w:r>
      <w:r>
        <w:rPr>
          <w:i/>
          <w:iCs/>
          <w:lang w:val="ru-RU"/>
        </w:rPr>
        <w:t>Монополия закончилась не потому, что ЕР стали показывать меньше, а потому, что перестановки в правительстве потребовали показать всех.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ЛДПР − 42,71 (+37,71).</w:t>
      </w:r>
      <w:r>
        <w:rPr>
          <w:lang w:val="ru-RU"/>
        </w:rPr>
        <w:t xml:space="preserve"> Второе место в контуре − впервые после выборов. 199 секунд эфира и 130 секунд синхрона − по прямой речи партия вторая после ЕР, на три секунды впереди КПРФ. Три инфоповода: консультации, утверждение правительства и собственный − Всероссийский слет партии 23 октября, вышедший в эфир Первого канала. 10 сюжетов «России 24» − второй результат после ЕР.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КПРФ − 41,61 (+36,16).</w:t>
      </w:r>
      <w:r>
        <w:rPr>
          <w:lang w:val="ru-RU"/>
        </w:rPr>
        <w:t xml:space="preserve"> Второе место по эфиру − 326 секунд (18,4%), в десять раз больше, чем неделю назад, − и третье в контуре: синхрона 127 секунд, инфоповодов три (все − перестановки в правительстве), сюжетов «России 24» шесть. 14 сюжетов на центральных каналах − восемь на «России», пять на «Первом», один на НТВ, негатива в них нет. </w:t>
      </w:r>
      <w:r>
        <w:rPr>
          <w:i/>
          <w:iCs/>
          <w:lang w:val="ru-RU"/>
        </w:rPr>
        <w:t>ТВЦ и РЕН ТВ не упоминали партию: для РЕН ТВ это четвертая неделя подряд.</w:t>
      </w:r>
      <w:r>
        <w:rPr>
          <w:lang w:val="ru-RU"/>
        </w:rPr>
        <w:t xml:space="preserve"> Своего инфоповода, в отличие от ЛДПР и «Новых людей», у партии на неделе не было − ни арест Михайлова</w:t>
      </w:r>
      <w:r w:rsidR="00933A4C">
        <w:rPr>
          <w:lang w:val="ru-RU"/>
        </w:rPr>
        <w:t>*</w:t>
      </w:r>
      <w:r>
        <w:rPr>
          <w:lang w:val="ru-RU"/>
        </w:rPr>
        <w:t>, ни переименование городов в эфир центральных каналов не попали.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«Новые люди» − 39,75 (+39,75).</w:t>
      </w:r>
      <w:r>
        <w:rPr>
          <w:lang w:val="ru-RU"/>
        </w:rPr>
        <w:t xml:space="preserve"> Самый большой прирост в контуре − с полного нуля до четвертого места. 212 секунд эфира (третий результат) и 123 </w:t>
      </w:r>
      <w:r>
        <w:rPr>
          <w:lang w:val="ru-RU"/>
        </w:rPr>
        <w:lastRenderedPageBreak/>
        <w:t>секунды синхрона, четыре инфоповода − столько же, сколько у ЕР: перестановки, консультации, утверждение и собственный − предложения о пополнении бюджета, представленные А. Силуанову. На «России 24» − четыре сюжета.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«Справедливая Россия» − 25,06 (+23,39).</w:t>
      </w:r>
      <w:r>
        <w:rPr>
          <w:lang w:val="ru-RU"/>
        </w:rPr>
        <w:t xml:space="preserve"> Последнее место: 166 секунд эфира, 69 секунд синхрона (7,1%), два инфоповода − консультации и утверждение правительства, четыре сюжета «России 24». Первый эфир партии за три недели, но целиком чужой − о кадровых решениях правительства.</w:t>
      </w:r>
    </w:p>
    <w:p w:rsidR="000719F7" w:rsidRPr="00AD53A1" w:rsidRDefault="00C14C03">
      <w:pPr>
        <w:spacing w:before="60"/>
        <w:ind w:firstLine="720"/>
        <w:rPr>
          <w:lang w:val="ru-RU"/>
        </w:rPr>
      </w:pPr>
      <w:r w:rsidRPr="00175834">
        <w:rPr>
          <w:i/>
          <w:iCs/>
          <w:u w:val="single"/>
          <w:lang w:val="ru-RU"/>
        </w:rPr>
        <w:t>Долгосрочный контекст:</w:t>
      </w:r>
      <w:r>
        <w:rPr>
          <w:i/>
          <w:iCs/>
          <w:lang w:val="ru-RU"/>
        </w:rPr>
        <w:t xml:space="preserve"> с 24 февраля 2022 года партийный новостной эфир составил 180 часов 33 минуты; доли не изменились − ЕР 51%, КПРФ 19%, ЛДПР 15%, «Новые люди» 9%, «Справедливая Россия» 6%. КПРФ сохраняет второе место по совокупному эфиру, и на этой неделе </w:t>
      </w:r>
      <w:r w:rsidR="00175834">
        <w:rPr>
          <w:i/>
          <w:iCs/>
          <w:lang w:val="ru-RU"/>
        </w:rPr>
        <w:t>«</w:t>
      </w:r>
      <w:r>
        <w:rPr>
          <w:i/>
          <w:iCs/>
          <w:lang w:val="ru-RU"/>
        </w:rPr>
        <w:t>недельный вклад</w:t>
      </w:r>
      <w:r w:rsidR="00175834">
        <w:rPr>
          <w:i/>
          <w:iCs/>
          <w:lang w:val="ru-RU"/>
        </w:rPr>
        <w:t>»</w:t>
      </w:r>
      <w:r>
        <w:rPr>
          <w:i/>
          <w:iCs/>
          <w:lang w:val="ru-RU"/>
        </w:rPr>
        <w:t xml:space="preserve"> партии впервые за месяц соответствует ее накопленной доле.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IV. ПОВЕСТКА</w:t>
      </w:r>
    </w:p>
    <w:p w:rsidR="000719F7" w:rsidRPr="00AD53A1" w:rsidRDefault="00C14C03">
      <w:pPr>
        <w:ind w:firstLine="720"/>
        <w:rPr>
          <w:lang w:val="ru-RU"/>
        </w:rPr>
      </w:pPr>
      <w:r>
        <w:rPr>
          <w:lang w:val="ru-RU"/>
        </w:rPr>
        <w:t>Повесточный контур оценивает содержательную активность − что партия внесла, предложила, заявила − по девяти базовым темам (шкала 5/3/1) и ситуативному блоку. Основа − парные выгрузки «Крибрум» по СМИ (4 452 материала против 3 031 неделей раньше, из них 2 675 оригинальных, аудитория 376,2 млн контактов) и соцмедиа (66 377 сообщений, использованы для проверки охвата партийных сюжетов). Тематическая разметка выполнена вручную по топу материалов по аудитории; 375 материалов с упоминанием двух и более партий (консультации с кандидатами в кабмин, распределение мандатов) из тематической атрибуции исключены.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lang w:val="ru-RU"/>
        </w:rPr>
        <w:t>Три сюжета задали рамку недели. Первый − кадровые перестановки</w:t>
      </w:r>
      <w:r w:rsidR="00175834">
        <w:rPr>
          <w:lang w:val="ru-RU"/>
        </w:rPr>
        <w:t xml:space="preserve"> в Правительстве</w:t>
      </w:r>
      <w:r>
        <w:rPr>
          <w:lang w:val="ru-RU"/>
        </w:rPr>
        <w:t>: 19 октября М. Мишустин внес в Думу кандидатуры О. Кожемяко, А. Никитина, И. Окладниковой, А. Силуанова и Д. Ядрова, 19−20 октября они прошли фракции, 21 октября палата утвердила их единогласно − КПРФ поддержала после выступлений кандидатов, остальные фракции заявили о поддержке заранее. Второй − бюджет: до первого чтения 29 октября партии формулировали требования к проекту 2027−2029 годов − ЕР через Д. Медведева, КПРФ через статью Г. Зюганова, «Новые люди» через предложения А. Силуанову. Третий − партийные форумы: ЛДПР провела трехдневный Всероссийский слет, ЕР назначила съезд на 5 декабря, «Новые люди» готовят съезд в декабре, СР − 20-летие партии 28 октября. Тематическая активность ушла в три темы − здравоохранение, образование и социальную справедливость, где по три-четыре партии получили максимум, а миграция, ЖКХ и экология остались за одной-двумя.</w:t>
      </w:r>
    </w:p>
    <w:p w:rsidR="000719F7" w:rsidRPr="00AD53A1" w:rsidRDefault="00C14C03">
      <w:pPr>
        <w:keepNext/>
        <w:spacing w:before="200" w:after="0"/>
        <w:jc w:val="right"/>
        <w:rPr>
          <w:lang w:val="ru-RU"/>
        </w:rPr>
      </w:pPr>
      <w:r>
        <w:rPr>
          <w:b/>
          <w:i/>
          <w:iCs/>
          <w:sz w:val="24"/>
          <w:szCs w:val="24"/>
          <w:lang w:val="ru-RU"/>
        </w:rPr>
        <w:lastRenderedPageBreak/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9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Оценки по базовым темам, 19−25 октября 2026 г.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4134"/>
        <w:gridCol w:w="1101"/>
        <w:gridCol w:w="1100"/>
        <w:gridCol w:w="1099"/>
        <w:gridCol w:w="1100"/>
        <w:gridCol w:w="1100"/>
      </w:tblGrid>
      <w:tr w:rsidR="000719F7">
        <w:trPr>
          <w:cantSplit/>
          <w:tblHeader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НЛ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1. Интернет и цифровые права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2. Здравоохранение и лекарства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3. Демография и семья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4. Миграционная политика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5. ЖКХ и тарифы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6. Образование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7. Социальная справедливость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8. СВО и помощь регионам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9. Экология и благоустройство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Базовые темы, сумма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25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Ситуативный блок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</w:tr>
      <w:tr w:rsidR="000719F7">
        <w:trPr>
          <w:cantSplit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Повесточный балл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78,33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70,00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80,00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68,33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55,00</w:t>
            </w:r>
          </w:p>
        </w:tc>
      </w:tr>
    </w:tbl>
    <w:p w:rsidR="000719F7" w:rsidRDefault="00C14C03">
      <w:pPr>
        <w:keepNext/>
        <w:spacing w:before="200" w:after="0"/>
        <w:jc w:val="right"/>
      </w:pPr>
      <w:r>
        <w:rPr>
          <w:b/>
          <w:i/>
          <w:iCs/>
          <w:sz w:val="24"/>
          <w:szCs w:val="24"/>
          <w:lang w:val="ru-RU"/>
        </w:rPr>
        <w:t xml:space="preserve">Таблица </w:t>
      </w:r>
      <w:r w:rsidR="001555CA">
        <w:rPr>
          <w:b/>
          <w:i/>
          <w:iCs/>
          <w:sz w:val="24"/>
          <w:szCs w:val="24"/>
          <w:lang w:val="ru-RU"/>
        </w:rPr>
        <w:fldChar w:fldCharType="begin"/>
      </w:r>
      <w:r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="001555CA">
        <w:rPr>
          <w:b/>
          <w:i/>
          <w:iCs/>
          <w:sz w:val="24"/>
          <w:szCs w:val="24"/>
          <w:lang w:val="ru-RU"/>
        </w:rPr>
        <w:fldChar w:fldCharType="separate"/>
      </w:r>
      <w:r>
        <w:rPr>
          <w:b/>
          <w:i/>
          <w:iCs/>
          <w:sz w:val="24"/>
          <w:szCs w:val="24"/>
          <w:lang w:val="ru-RU"/>
        </w:rPr>
        <w:t>10</w:t>
      </w:r>
      <w:r w:rsidR="001555CA">
        <w:rPr>
          <w:b/>
          <w:i/>
          <w:iCs/>
          <w:sz w:val="24"/>
          <w:szCs w:val="24"/>
          <w:lang w:val="ru-RU"/>
        </w:rPr>
        <w:fldChar w:fldCharType="end"/>
      </w:r>
    </w:p>
    <w:p w:rsidR="000719F7" w:rsidRPr="00AD53A1" w:rsidRDefault="00C14C03">
      <w:pPr>
        <w:keepNext/>
        <w:spacing w:before="40" w:after="60"/>
        <w:jc w:val="center"/>
        <w:rPr>
          <w:lang w:val="ru-RU"/>
        </w:rPr>
      </w:pPr>
      <w:r>
        <w:rPr>
          <w:b/>
          <w:bCs/>
          <w:lang w:val="ru-RU"/>
        </w:rPr>
        <w:t>Повесточный рейтинг: 32-я и 31-я недели</w:t>
      </w:r>
    </w:p>
    <w:tbl>
      <w:tblPr>
        <w:tblW w:w="9634" w:type="dxa"/>
        <w:jc w:val="center"/>
        <w:tblLayout w:type="fixed"/>
        <w:tblCellMar>
          <w:left w:w="80" w:type="dxa"/>
          <w:right w:w="80" w:type="dxa"/>
        </w:tblCellMar>
        <w:tblLook w:val="00A0"/>
      </w:tblPr>
      <w:tblGrid>
        <w:gridCol w:w="900"/>
        <w:gridCol w:w="2435"/>
        <w:gridCol w:w="1500"/>
        <w:gridCol w:w="1500"/>
        <w:gridCol w:w="1500"/>
        <w:gridCol w:w="1799"/>
      </w:tblGrid>
      <w:tr w:rsidR="000719F7">
        <w:trPr>
          <w:cantSplit/>
          <w:tblHeader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32-я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Δ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19F7" w:rsidRDefault="00C14C03">
            <w:pPr>
              <w:keepNext/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Место: было → стало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75,00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+5,00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78,33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71,67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+6,66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2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75,00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−5,00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3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68,33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65,00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+3,33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4</w:t>
            </w:r>
          </w:p>
        </w:tc>
      </w:tr>
      <w:tr w:rsidR="000719F7">
        <w:trPr>
          <w:cantSplit/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left"/>
            </w:pPr>
            <w:r>
              <w:rPr>
                <w:b/>
                <w:b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55,00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33,33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+21,67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9F7" w:rsidRDefault="00C14C03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5</w:t>
            </w:r>
          </w:p>
        </w:tc>
      </w:tr>
    </w:tbl>
    <w:p w:rsidR="000719F7" w:rsidRPr="00AD53A1" w:rsidRDefault="00C14C03">
      <w:pPr>
        <w:spacing w:before="120"/>
        <w:ind w:firstLine="720"/>
        <w:rPr>
          <w:lang w:val="ru-RU"/>
        </w:rPr>
      </w:pPr>
      <w:r w:rsidRPr="00175834">
        <w:rPr>
          <w:b/>
          <w:bCs/>
          <w:lang w:val="ru-RU"/>
        </w:rPr>
        <w:t>ЛДПР впервые после выборов единоличный лидер</w:t>
      </w:r>
      <w:r>
        <w:rPr>
          <w:lang w:val="ru-RU"/>
        </w:rPr>
        <w:t>, ЕР вернулась на второе место, которое после выборов занимали сначала ЛДПР, потом КПРФ. У КПРФ и СР разрыв сжался до 1,67 балла. «Новые люди» впервые за серию перешагнули 50 баллов.</w:t>
      </w:r>
    </w:p>
    <w:p w:rsidR="000719F7" w:rsidRPr="00AD53A1" w:rsidRDefault="00C14C03">
      <w:pPr>
        <w:keepNext/>
        <w:spacing w:before="160" w:after="80"/>
        <w:jc w:val="left"/>
        <w:rPr>
          <w:lang w:val="ru-RU"/>
        </w:rPr>
      </w:pPr>
      <w:r>
        <w:rPr>
          <w:b/>
          <w:bCs/>
          <w:szCs w:val="28"/>
          <w:lang w:val="ru-RU"/>
        </w:rPr>
        <w:t>Что происходило по темам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Интернет и цифровые права − лидер ЕР.</w:t>
      </w:r>
      <w:r>
        <w:rPr>
          <w:lang w:val="ru-RU"/>
        </w:rPr>
        <w:t xml:space="preserve"> Совет партии по инновационному развитию подготовил предложения правительству по защите центров обработки данных − после ударов БПЛА по ЦОД это самый актуальный цифровой сюжет недели (РИА Новости, 1,9 млн; ТАСС − два выхода); фракция пообещала учесть позицию бизнеса при доработке закона о платформенной экономике (РИА Новости, ТАСС, «Комсомольская правда»); в Тюмени на форуме «Инфотех» В. Якушев и М. Шадаев обсуждали ИИ во внутрипартийной работе («Россия 24» − два сюжета). Со </w:t>
      </w:r>
      <w:r>
        <w:rPr>
          <w:lang w:val="ru-RU"/>
        </w:rPr>
        <w:lastRenderedPageBreak/>
        <w:t>знаком минус − законопроект В. Пискарева об ужесточении наказания за призывы в сети («Коммерсантъ»: «Экстремизм подорожает»). КПРФ − обращение к М. Мишустину об освобождении граждан от платы до 5 тыс. рублей за документы через почту и МФЦ («Свободная пресса», 409 тыс.), участие Д. Новикова в запуске российско-китайской платформы «Молния». ЛДПР − уведомление об эвакуации автомобиля через «Госуслуги» (ТАСС − четыре выхода, Mail, 785 тыс.), приложение для связи граждан с депутатами («Россия 24», «Вести»). СР − уголовная ответственность за дипфейки (НСН), реплика М. Ким «ИИ не заменит чиновников». «Новые люди» − ничего.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Здравоохранение − три максимума.</w:t>
      </w:r>
      <w:r>
        <w:rPr>
          <w:lang w:val="ru-RU"/>
        </w:rPr>
        <w:t xml:space="preserve"> ЕР: особый контроль за обеспечением онкобольных препаратами (Ю. Бровко − «Комсомольская правда», 1,75 млн; «Взгляд», 1,1 млн), бесплатная диспансеризация в Подмосковье, капремонт Подольской больницы по Народной программе. СР: месячный запас лекарств при выписке после инфаркта и инсульта − обращение в Минздрав («Царьград» − три выхода, ТАСС, НСН), поправки об оценке последствий изменения режима работы больниц («Парламентская газета»), запрет закупок продуктов с пальмовым маслом для школ и больниц. «Новые люди»: право родителей бесплатно находиться в стационаре с детьми до восьми лет («Царьград» − три выхода, ТАСС, «Парламентская газета»), налоговый вычет за услуги психолога − законопроект внесен («Вести» − два выхода), запрос в Роспотребнадзор о составе спортивного питания (РИА Новости − два выхода). КПРФ: предложения правительству о передаче конфискованных автомобилей больницам, школам и учреждениям соцзащиты (Н. Коломейцев, А. Куринный, М. Дробот, Г. Камнев, А. Гибатдинов − «Газета.Ru», 701 тыс.) и о моратории на пени для бюджетных учреждений («Свободная пресса»), Н. Осадчий на брифинге − о недофинансировании медицины в проекте бюджета. ЛДПР: пакет поддержки медработников, бесплатные расходники для кохлеарных имплантов детям (ТАСС), выплата участковым врачам.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Демография и семья − ЕР и СР.</w:t>
      </w:r>
      <w:r>
        <w:rPr>
          <w:lang w:val="ru-RU"/>
        </w:rPr>
        <w:t xml:space="preserve"> ЕР: В. Милонов пообещал устранить «бюрократическую нелепицу» с маткапиталом на строительство дома (Lenta.ru, 2 млн − три выхода; «Комсомольская правда»), Д. Медведев − почти 2 трлн рублей на жилищные условия семей с детьми (Mail, 785 тыс.), в регионах − поддержка президентом инициативы о бесплатном проезде многодетных по платным дорогам. СР: С. Миронов − компенсация аренды жилья молодым семьям по нарастающей, 50/70/100% по числу детей (РИА Новости, 1,9 млн − три выхода), льготный лизинг автомобилей для многодетных (ТАСС), стройсберкассы. КПРФ: законопроект Ю. Афонина о возврате части НДФЛ малообеспеченным семьям с одним ребенком внесен в Думу (ТАСС, «Ридус», региональные выходы) − одна инициатива с федеральным выходом, без развития. ЛДПР: запрос в Генпрокуратуру по отказам в маткапитале на строительство дома (ТАСС − два выхода; «ДОМ.РФ» поддержал партию), служба поддержки одиноких отцов. «Новые люди» − повышение детского прожиточного минимума без охвата.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lastRenderedPageBreak/>
        <w:t>Миграция − ЛДПР.</w:t>
      </w:r>
      <w:r>
        <w:rPr>
          <w:lang w:val="ru-RU"/>
        </w:rPr>
        <w:t xml:space="preserve"> Законопроект об увеличении срока проживания для получения гражданства с пяти до восьми лет направлен в правительство (ТАСС − два выхода, Life.ru, 334 тыс.; «Вести»; Клерк.ру), Л. Слуцкий анонсировал законопроект о безналичной выплате зарплат мигрантам и налог на их переводы за рубеж (ТАСС). СР: С. Миронов − закрепить мигранта за конкретным рабочим местом (News.ru, 248 тыс.), законопроект об отмене патентной системы внесен. У ЕР − реплика о «вернувшихся релокантах», у КПРФ и «Новых людей» − ничего федерального.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ЖКХ и тарифы − КПРФ и ЛДПР поровну.</w:t>
      </w:r>
      <w:r>
        <w:rPr>
          <w:lang w:val="ru-RU"/>
        </w:rPr>
        <w:t xml:space="preserve"> КПРФ: законопроект о повышении тарифов ЖКУ не чаще одного раза в год и в пределах индекса потребительских цен внесен в Думу (Ю. Афонин, А. Ивачев, Г. Камнев, А. Куринный − М24, 11 региональных выходов); Ю. Афонин для RTVI − «коммунальные капиталисты получают бюджетные кредиты, а обновление сетей перекладывают на граждан» («Свободная пресса», 409 тыс.); Т. Казанцева в тюменском подвале; митинг в Костино под Кировом о ЖКХ. </w:t>
      </w:r>
      <w:r>
        <w:rPr>
          <w:i/>
          <w:iCs/>
          <w:lang w:val="ru-RU"/>
        </w:rPr>
        <w:t>Охват тарифного законопроекта − 0,2 млн: ТАСС и РИА Новости инициативу не подхватили.</w:t>
      </w:r>
      <w:r>
        <w:rPr>
          <w:lang w:val="ru-RU"/>
        </w:rPr>
        <w:t xml:space="preserve"> ЛДПР: штрафы управляющим компаниям до 200 тыс. рублей (IZ.RU, 267 тыс.), досудебное обжалование ошибочных начислений (ТАСС − три выхода), «вернуть ЖКХ государству» на слете (IZ.RU, Пятый канал), бесплатный сантехник для пенсионеров, компенсация за сгоревшую технику, два кейса «после вмешательства ЛДПР дали тепло». СР: против упрощенного отключения ЖКУ должникам («Царьград» − три выхода, НСН), Т. Гриневич − «черная дыра» нижегородского ЖКХ. ЕР − региональные сюжеты Народной программы. «Новые люди» − ничего.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Образование − КПРФ, ЛДПР, СР.</w:t>
      </w:r>
      <w:r>
        <w:rPr>
          <w:lang w:val="ru-RU"/>
        </w:rPr>
        <w:t xml:space="preserve"> КПРФ: 22 октября Дума рассмотрела три законопроекта фракции − бесплатный проезд для студентов, доплаты преподавателям региональных вузов, возвращение надбавок за ученые степени; ни один не набрал 226 голосов, «Единая Россия» не участвовала в голосовании (RB.RU, ОСН, «Сибкрай»; в соцсетях − «Типичный Новосибирск» 96 тыс., «Оскольское время» 86 тыс.). Для повестки это зачет: тема поставлена и получила ответ. СР: бесплатная подготовка к ОГЭ и ЕГЭ по всем предметам («Взгляд», 1,1 млн; ТАСС − четыре выхода). ЛДПР: бесплатное горячее питание всем школьникам с 1-го по 11-й класс (ТАСС − два выхода), оклад учителя не ниже 150% средней зарплаты по региону («Вести», 290 тыс.; ТАСС), единый норматив финансирования школ (ТАСС, «Мел»), постоянная партийная школа ЛДПР. ЕР: против пятилетнего запрета на повторное поступление для отчисленных − «индивидуальный подход» (В. Головин − «Комсомольская правда», 1,75 млн; «Взгляд» − два выхода). «Новые люди» − ничего по теме.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Социальная справедливость − четыре максимума.</w:t>
      </w:r>
      <w:r>
        <w:rPr>
          <w:lang w:val="ru-RU"/>
        </w:rPr>
        <w:t xml:space="preserve"> ЕР: Д. Медведев − «свыше 18 трлн рублей» на Народную программу в трехлетнем бюджете, партия поддержит проект в первом чтении (РИА Новости − четыре выхода, «Взгляд», «Коммерсантъ», «Ведомости», АиФ − 181 материал, 8,5 млн), перенос сроков выплат </w:t>
      </w:r>
      <w:r>
        <w:rPr>
          <w:lang w:val="ru-RU"/>
        </w:rPr>
        <w:lastRenderedPageBreak/>
        <w:t>по бюджетным кредитам регионов, законопроект о семейном бизнесе принят в первом чтении. КПРФ: статья Г. Зюганова «Бюджет страны обязан быть победным!» − налоги на игорный бизнес, акцизы на алкоголь и табак, вывод теневого сектора, «минимум 10 триллионов» («Чемпионат», 2,3 млн; «Свободная пресса» − два выхода), «налог только на сверхдоходы», брифинг Н. Осадчего о дефиците в 5 трлн, А. Гибатдинов о наследстве Баффетта и борьбе с бедностью (News.ru). ЛДПР: запрет МФО и коллекторов − законопроект направлен в правительство (ТАСС − три выхода), защита соцвыплат от взысканий через спецсчета («Вести»), полная стоимость упаковки продуктов («Взгляд», 1,1 млн; ТАСС − четыре выхода), «новая индустриализация» Л. Слуцкого («Газета.Ru», 701 тыс.), обновление транспорта малых городов (РИА Новости, 1,9 млн − пять выходов). «Новые люди»: предложения Минфину по пополнению бюджета и экономии на госаппарате (эфир РЕН ТВ и Пятого канала), отказ от концертов за бюджетный счет (Lenta.ru, 2 млн), легализация «блатных» номеров − В. Володин поручил проработать (696 тыс. просмотров в Telegram), дополнительный отдых работникам при задержке рейсов («Комсомольская правда», 1,75 млн). СР: вычет при покупке жилья до 8 млн («Вести»), частичная кредитная амнистия − законопроект внесен («Парламентская газета»), Госкомцен и штрафы за наценки − много инициатив без федерального охвата.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СВО и помощь регионам − ЕР, ЛДПР, СР.</w:t>
      </w:r>
      <w:r>
        <w:rPr>
          <w:lang w:val="ru-RU"/>
        </w:rPr>
        <w:t xml:space="preserve"> ЕР: Д. Медведев назвал оборону и поддержку бойцов приоритетом бюджета (АиФ, Life.ru, «Вести», IZ.RU), законопроект об учете боевого опыта контрактников и росгвардейцев в муниципальном стаже («Ведомости»), список потребностей эвакуированных жителей Алешек («Вести», ТАСС), подготовка волонтерских групп для зон ЧС («Взгляд», 1,1 млн), крупнейшее в стране донецкое отделение (АиФ). Трагический сюжет − гибель депутата Каланчакского совета С. Глухенко на мине (РБК − пять выходов, ТАСС − 8,6 млн). ЛДПР: уполномоченный по правам ветеранов СВО (К. Панеш − РИА Новости, 1,9 млн − три выхода), слет партии с темой поддержки участников СВО в эфире Первого канала, Л. Слуцкий о перемирии в Алешках и требовании к США прекратить помощь Киеву после атаки на Белгород («Вести», ТАСС). СР: квота 2−4% на трудоустройство ветеранов для компаний от 35 сотрудников − законопроект внесен («Амител», «Урал-пресс-информ»), признание фронтовых навыков (ТАСС − два выхода), оплачиваемые отпуска родственникам участников СВО. «Новые люди» − включить управление дронами в ГТО (эфир «360», 1,5 млн). </w:t>
      </w:r>
      <w:r>
        <w:rPr>
          <w:i/>
          <w:iCs/>
          <w:lang w:val="ru-RU"/>
        </w:rPr>
        <w:t>КПРФ − третья неделя подряд без федерального СВО-сюжета: статья Г. Зюганова задает рамку «победного бюджета», но конкретной инициативы по участникам СВО и регионам в массиве нет; региональный след − музей-блиндаж ульяновских коммунистов.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Экология и благоустройство − «Новые люди».</w:t>
      </w:r>
      <w:r>
        <w:rPr>
          <w:lang w:val="ru-RU"/>
        </w:rPr>
        <w:t xml:space="preserve"> Законопроект о налоговом вычете за содержание животных из приюта внесен в Думу («Царьград» − три выхода, «Российская газета», 369 тыс.; М24, «Вечерняя Москва» − три выхода, </w:t>
      </w:r>
      <w:r>
        <w:rPr>
          <w:lang w:val="ru-RU"/>
        </w:rPr>
        <w:lastRenderedPageBreak/>
        <w:t>«Парламентская газета») − редкий случай, когда партия единолично заняла тему. ЕР: поправки А. Когана о штрафах за промышленные выбросы «в пользу модернизации» (РИАМО), маркировка объектов Народной программы, благоустройство в Подмосковье − региональный уровень. КПРФ: Н. Останина для ТАСС − реестр учета животных как решение проблемы бродячих собак («Ридус»). ЛДПР и СР − без инициатив.</w:t>
      </w:r>
    </w:p>
    <w:p w:rsidR="000719F7" w:rsidRPr="00AD53A1" w:rsidRDefault="00C14C03">
      <w:pPr>
        <w:keepNext/>
        <w:spacing w:before="160" w:after="80"/>
        <w:jc w:val="left"/>
        <w:rPr>
          <w:lang w:val="ru-RU"/>
        </w:rPr>
      </w:pPr>
      <w:r>
        <w:rPr>
          <w:b/>
          <w:bCs/>
          <w:szCs w:val="28"/>
          <w:lang w:val="ru-RU"/>
        </w:rPr>
        <w:t>Ситуативный блок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ЕР (14).</w:t>
      </w:r>
      <w:r>
        <w:rPr>
          <w:lang w:val="ru-RU"/>
        </w:rPr>
        <w:t xml:space="preserve"> Перестановки в правительстве − 199 материалов с участием партии и 73 млн аудитории в выгрузке «Крибрум»: встречи фракции с кандидатами 19−20 октября, единогласная поддержка («Россия 24» − шесть сюжетов, РИА Новости − шесть выходов, Интерфакс, Mail), В. Якушев: «назначения по плечу». Съезд партии 5 декабря с обновлением руководящих органов и принятием манифеста (Интерфакс, «Коммерсантъ», «Российская газета», ТАСС). Донецкое отделение стало самым многочисленным в стране (АиФ, «Коммерсантъ»), К. Бахарев − куратор медиа во фракции («Ведомости»). Негатив: гибель депутата С. Глухенко в Херсонской области (8,6 млн), «единороссы не голосовали за три социальных законопроекта» («Эхо», «Сибкрай», ОСН; соцсети − около 250 тыс. просмотров), задержание в Пензе экс-спикера гордумы и депутата заксобрания по делу о растрате («Коммерсантъ» − три выхода), законопроект В. Пискарева в подаче «ужесточить сроки за посты».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КПРФ (13).</w:t>
      </w:r>
      <w:r>
        <w:rPr>
          <w:lang w:val="ru-RU"/>
        </w:rPr>
        <w:t xml:space="preserve"> Половина партийных сюжетов недели − про партию, а не от партии. От партии: законопроект А. Глазковой о возвращении названий Сталинград и Ленинград (РИА Новости − три выхода, «Коммерсантъ» − три, ТАСС − три, «Газета.Ru», МК, «Царьград», Life.ru, «Ведомости», зарубежные перепечатки − 139 материалов, 13,9 млн), полемика с В. Милоновым, спикером петербургского ЗакСа А. Бельским и Общественной палатой; «Независимая газета» − «возвращение Сталинграда лишит КПРФ козыря». Поддержка кандидатов в правительство после их выступлений − единственная фракция, тянувшая с решением до пленарного заседания («Коммерсантъ»: «Одобрительная консолидация»; ТАСС, «Российская газета»). Переход А. Ющенко на пост советника В. Володина (ТАСС − 14 выходов, «Коммерсантъ», «Ведомости», «Свободная пресса» − 35 материалов, 4,8 млн). </w:t>
      </w:r>
      <w:r>
        <w:rPr>
          <w:i/>
          <w:iCs/>
          <w:lang w:val="ru-RU"/>
        </w:rPr>
        <w:t>Про партию: арест О. Михайлова</w:t>
      </w:r>
      <w:r w:rsidR="00933A4C">
        <w:rPr>
          <w:i/>
          <w:iCs/>
          <w:lang w:val="ru-RU"/>
        </w:rPr>
        <w:t>*</w:t>
      </w:r>
      <w:r>
        <w:rPr>
          <w:i/>
          <w:iCs/>
          <w:lang w:val="ru-RU"/>
        </w:rPr>
        <w:t xml:space="preserve"> − 256 материалов, 37,5 млн аудитории, 156 источников (РБК − восемь выходов, Lenta.ru, «Комсомольская правда», «Взгляд», «Коммерсантъ» − восемь, «Ведомости» − пять, ТАСС, НТВ, РЕН ТВ, Интерфакс, «Фонтанка», Forbes, М24 − 14 выходов); официальная реакция партии − комментарий Ю. Синельщикова о «преднамеренной паузе» следствия до истечения депутатского иммунитета («Свободная пресса»), пост kprf.ru (65 тыс. просмотров), Б. Цыренов о «новом уровне» давления. Рядом − предостережение Б. Цыренову перед митингом в Улан-Удэ (митинг 25 октября, около 100 человек), отказ севастопольского отделения признать итоги выборов (ForPost), «Независимая газета» − «треть отделений не подвела итоги». Ресурсы со статусом иноагентов и нежелательных организаций подали арест как «борьбу </w:t>
      </w:r>
      <w:r>
        <w:rPr>
          <w:i/>
          <w:iCs/>
          <w:lang w:val="ru-RU"/>
        </w:rPr>
        <w:lastRenderedPageBreak/>
        <w:t>Кремля с коммунистами» и сообщили о задержании ижевского активиста Д. Морозова − в основной массив не включены (см. примечание).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ЛДПР (13).</w:t>
      </w:r>
      <w:r>
        <w:rPr>
          <w:lang w:val="ru-RU"/>
        </w:rPr>
        <w:t xml:space="preserve"> Всероссийский слет 23−25 октября − более 400 участников, эфир Первого канала (18,7 млн) и два сюжета «России 24», Пятый канал: итоги кампании («почти 9%, 23 депутата»), реформа регионального блока («Российская газета»), постоянная партийная школа (ТАСС), приложение для обращений граждан, «ЖКХ − государству». Поддержка кандидатов в правительство (РИА Новости − три выхода, ТАСС). Внешнеполитический фронт Л. Слуцкого: ЕС и переговоры по Украине (Lenta.ru, 2 млн − два выхода), высылка дипломатов из Австрии («Россия 24»), «Бритлаг» А. Лугового (Mail, 785 тыс.), «пять забытых пророчеств Жириновского» (News.ru). Негатив мелкий: откровенные фото липецкой активистки, спор о наследстве Жириновского, предложение признать Октябрьскую революцию переворотом в подаче левых ресурсов.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СР (8).</w:t>
      </w:r>
      <w:r>
        <w:rPr>
          <w:lang w:val="ru-RU"/>
        </w:rPr>
        <w:t xml:space="preserve"> ЦИК передал мандат К. Шагимуратова экс-сенатору А. Фадзаеву (РБК, 3,6 млн; «Коммерсантъ» − три выхода, «Ведомости» − три, ТАСС − 28 материалов, 6,1 млн); фракция завершила серию встреч с кандидатами в правительство (ТАСС), А. Бабаков оценил перестановки. С. Миронов на внешнем фронте − «послевоенный мир определят Россия, США и Китай» (ТАСС − два выхода). 20-летие партии 28 октября − пост С. Миронова разошелся по сети пабликов на 766 тыс. просмотров при 8,7 тыс. репостов. Курьез: французские медиа обвинили мессенджер MAX и «Справедливую Россию» в координации протестов. Негатив региональный: «СР в Самарской области теряет политическое будущее» («Самарское обозрение»), сложил полномочия депутат ЗакСа Карелии, политтехнолог партии уходит в избирком Приморья.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НЛ (8).</w:t>
      </w:r>
      <w:r>
        <w:rPr>
          <w:lang w:val="ru-RU"/>
        </w:rPr>
        <w:t xml:space="preserve"> Фракция первой из думских встретилась с кандидатами в правительство и поддержала их (РБК, 3,6 млн; РИА Новости − два выхода; «Коммерсантъ» − пять выходов; IZ.RU − четыре; ТАСС − три); съезд партии запланирован на декабрь («Ведомости» − два выхода). «Блатные» номера − В. Володин поручил правительству проработать инициативу (696 тыс. просмотров в Telegram). Негатив: депутат от Краснодарского края И. Горбашев откажется от мандата («Ведомости», 318 тыс.; «битва за мандат» − 132 тыс. просмотров в Telegram), в Ревде задержан по делу о разбое экс-кандидат партии в думу Дегтярска (E1.ru, 743 тыс.).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О массиве.</w:t>
      </w:r>
      <w:r>
        <w:rPr>
          <w:lang w:val="ru-RU"/>
        </w:rPr>
        <w:t xml:space="preserve"> Доли партий в выгрузке «Крибрум» по СМИ: ЕР − 3 069 материалов (68,9%), КПРФ − 897 (20,1%), ЛДПР − 416 (9,3%), СР − 360 (8,1%), НЛ − 328 (7,4%); доля оригинальных материалов у оппозиции выше, чем у ЕР (67−72% против 56%). У ЛДПР аудитория (99,1 млн) выше, чем у КПРФ (95,7 млн), при вдвое меньшем числе сообщений − за счет эфира Первого канала и пяти сюжетов «России 24». </w:t>
      </w:r>
      <w:r>
        <w:rPr>
          <w:i/>
          <w:iCs/>
          <w:lang w:val="ru-RU"/>
        </w:rPr>
        <w:t>У КПРФ два сюжета − арест Михайлова</w:t>
      </w:r>
      <w:r w:rsidR="00933A4C">
        <w:rPr>
          <w:i/>
          <w:iCs/>
          <w:lang w:val="ru-RU"/>
        </w:rPr>
        <w:t>*</w:t>
      </w:r>
      <w:r>
        <w:rPr>
          <w:i/>
          <w:iCs/>
          <w:lang w:val="ru-RU"/>
        </w:rPr>
        <w:t xml:space="preserve"> и переименование городов − дают 44% сообщений и 54% аудитории партии;</w:t>
      </w:r>
      <w:r>
        <w:rPr>
          <w:lang w:val="ru-RU"/>
        </w:rPr>
        <w:t xml:space="preserve"> без них массив КПРФ сопоставим с </w:t>
      </w:r>
      <w:r>
        <w:rPr>
          <w:lang w:val="ru-RU"/>
        </w:rPr>
        <w:lastRenderedPageBreak/>
        <w:t>массивом СР. В соцмедийной выгрузке «Крибрум» (66,4 тыс. сообщений, 13,6 млн просмотров) картина та же: КПРФ первая по просмотрам (5,05 млн), но первые места в ее топе − арест (2,44 млн) и переименование (0,89 млн); инициативы ЛДПР дают лучший среди крупных партий отклик на сообщение (410 просмотров) и 79% позитива.</w:t>
      </w:r>
    </w:p>
    <w:p w:rsidR="000719F7" w:rsidRPr="00AD53A1" w:rsidRDefault="00C14C03">
      <w:pPr>
        <w:spacing w:before="60"/>
        <w:ind w:firstLine="720"/>
        <w:rPr>
          <w:lang w:val="ru-RU"/>
        </w:rPr>
      </w:pPr>
      <w:r w:rsidRPr="00175834">
        <w:rPr>
          <w:i/>
          <w:iCs/>
          <w:u w:val="single"/>
          <w:lang w:val="ru-RU"/>
        </w:rPr>
        <w:t>Примечание.</w:t>
      </w:r>
      <w:r>
        <w:rPr>
          <w:i/>
          <w:iCs/>
          <w:lang w:val="ru-RU"/>
        </w:rPr>
        <w:t xml:space="preserve"> Материалы ресурсов со статусом иностранных агентов и нежелательных организаций («Медуза», «Дождь», «Радио Свобода», The Insider, «Настоящее время», «Важные истории») в тематической разметке не использовались; упомянутые в них сюжеты (задержание и сообщения о пытках ижевского активиста Д. Морозова, «Кремль продолжает бороться с коммунистами») приведены как негативный фон без оценки достоверности. Социолог Б. Кагарлицкий, в связи с публикацией о котором возбуждено дело О. Михайлова</w:t>
      </w:r>
      <w:r w:rsidR="00933A4C">
        <w:rPr>
          <w:i/>
          <w:iCs/>
          <w:lang w:val="ru-RU"/>
        </w:rPr>
        <w:t>*</w:t>
      </w:r>
      <w:r>
        <w:rPr>
          <w:i/>
          <w:iCs/>
          <w:lang w:val="ru-RU"/>
        </w:rPr>
        <w:t>, внесен в реестр иноагентов.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V. ИТОГОВЫЙ СВОДНЫЙ ДИАГНОЗ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 xml:space="preserve">Четвертая послевыборная неделя сломала режим </w:t>
      </w:r>
      <w:r w:rsidR="00175834">
        <w:rPr>
          <w:b/>
          <w:bCs/>
          <w:lang w:val="ru-RU"/>
        </w:rPr>
        <w:t>«</w:t>
      </w:r>
      <w:r>
        <w:rPr>
          <w:b/>
          <w:bCs/>
          <w:lang w:val="ru-RU"/>
        </w:rPr>
        <w:t>сжатого поля</w:t>
      </w:r>
      <w:r w:rsidR="00175834">
        <w:rPr>
          <w:b/>
          <w:bCs/>
          <w:lang w:val="ru-RU"/>
        </w:rPr>
        <w:t>»</w:t>
      </w:r>
      <w:r>
        <w:rPr>
          <w:b/>
          <w:bCs/>
          <w:lang w:val="ru-RU"/>
        </w:rPr>
        <w:t>:</w:t>
      </w:r>
      <w:r>
        <w:rPr>
          <w:lang w:val="ru-RU"/>
        </w:rPr>
        <w:t xml:space="preserve"> перестановки в правительстве открыли телевидение всем пяти фракциям, массив СМИ и просмотры в соцсетях выросли, и оппозиционный коридор впервые раздвинулся. Но содержание прироста у партий разное. У ЛДПР рост − повесточный и телевизионный (слет, лидерство по темам). У «Новых людей» − повесточный и телевизионный (собственный инфоповод − бюджет). У «Справедливой России» − тиражный (сеть пабликов). У КПРФ − медийный, но не содержательный: максимумы по охвату в СМИ и просмотрам в соцсетях сделаны двумя сюжетами, которые партия не выбирала, при худшей тональности и откате в повестке. </w:t>
      </w:r>
      <w:r>
        <w:rPr>
          <w:i/>
          <w:iCs/>
          <w:lang w:val="ru-RU"/>
        </w:rPr>
        <w:t xml:space="preserve">Главный итог недели − второе место КПРФ закреплено с запасом в 10 баллов, но стоит на сюжете об аресте, который повторить нельзя </w:t>
      </w:r>
      <w:r w:rsidR="00175834">
        <w:rPr>
          <w:i/>
          <w:iCs/>
          <w:lang w:val="ru-RU"/>
        </w:rPr>
        <w:t>(</w:t>
      </w:r>
      <w:r>
        <w:rPr>
          <w:i/>
          <w:iCs/>
          <w:lang w:val="ru-RU"/>
        </w:rPr>
        <w:t>и не нужно</w:t>
      </w:r>
      <w:r w:rsidR="00175834">
        <w:rPr>
          <w:i/>
          <w:iCs/>
          <w:lang w:val="ru-RU"/>
        </w:rPr>
        <w:t>)</w:t>
      </w:r>
      <w:r>
        <w:rPr>
          <w:i/>
          <w:iCs/>
          <w:lang w:val="ru-RU"/>
        </w:rPr>
        <w:t>.</w:t>
      </w:r>
    </w:p>
    <w:p w:rsidR="000719F7" w:rsidRPr="00AD53A1" w:rsidRDefault="00C14C03" w:rsidP="00175834">
      <w:pPr>
        <w:ind w:firstLine="720"/>
        <w:rPr>
          <w:lang w:val="ru-RU"/>
        </w:rPr>
      </w:pPr>
      <w:r>
        <w:rPr>
          <w:b/>
          <w:bCs/>
          <w:lang w:val="ru-RU"/>
        </w:rPr>
        <w:t>«Единая Россия»</w:t>
      </w:r>
      <w:r>
        <w:rPr>
          <w:lang w:val="ru-RU"/>
        </w:rPr>
        <w:t xml:space="preserve"> − 93,10 балла, первое место. Балл стабилен, но без «соток» в СМИ и соцсетях − впервые после выборов. Партия контролирует объем и телевидение, выиграла повестку бюджета («18 триллионов») и поднялась в повесточном контуре на второе место. Слабое место − охват и просмотры: по обоим на этой неделе первая КПРФ.</w:t>
      </w:r>
    </w:p>
    <w:p w:rsidR="000719F7" w:rsidRPr="00AD53A1" w:rsidRDefault="00C14C03" w:rsidP="00175834">
      <w:pPr>
        <w:ind w:firstLine="720"/>
        <w:rPr>
          <w:lang w:val="ru-RU"/>
        </w:rPr>
      </w:pPr>
      <w:r>
        <w:rPr>
          <w:b/>
          <w:bCs/>
          <w:lang w:val="ru-RU"/>
        </w:rPr>
        <w:t>КПРФ</w:t>
      </w:r>
      <w:r>
        <w:rPr>
          <w:lang w:val="ru-RU"/>
        </w:rPr>
        <w:t xml:space="preserve"> − 56,87 балла, второе место. Лучший результат после выборов: охват 112,7 млн, 26,9 млн просмотров, 5,5 минут телеэфира, второе место во всех трех медийных контурах. Все три всплеска − новостные (арест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, переименование, перестановки), тональность в СМИ 39,58% и в соцсетях 16,02% − худшие за серию. </w:t>
      </w:r>
      <w:r>
        <w:rPr>
          <w:i/>
          <w:iCs/>
          <w:lang w:val="ru-RU"/>
        </w:rPr>
        <w:t>Повестка − 70,00 и третье место: законопроектный поток идет, но без федерального сопровождения; по СВО и миграции третья неделя пусто.</w:t>
      </w:r>
    </w:p>
    <w:p w:rsidR="000719F7" w:rsidRPr="00AD53A1" w:rsidRDefault="00C14C03" w:rsidP="00175834">
      <w:pPr>
        <w:ind w:firstLine="720"/>
        <w:rPr>
          <w:lang w:val="ru-RU"/>
        </w:rPr>
      </w:pPr>
      <w:r>
        <w:rPr>
          <w:b/>
          <w:bCs/>
          <w:lang w:val="ru-RU"/>
        </w:rPr>
        <w:t>ЛДПР</w:t>
      </w:r>
      <w:r>
        <w:rPr>
          <w:lang w:val="ru-RU"/>
        </w:rPr>
        <w:t xml:space="preserve"> − 46,79 балла, третье место. Единоличный лидер повестки (80,00), вторая на телевидении, лучшие в оппозиции МедиаИндекс и тональность в СМИ. </w:t>
      </w:r>
      <w:r>
        <w:rPr>
          <w:lang w:val="ru-RU"/>
        </w:rPr>
        <w:lastRenderedPageBreak/>
        <w:t>Слет оформил заявку на второе место в оппозиции, но интегральный разрыв с КПРФ вырос с 2,79 до 10,08 − партии не хватает объема в СМИ и соцсетях.</w:t>
      </w:r>
    </w:p>
    <w:p w:rsidR="000719F7" w:rsidRPr="00AD53A1" w:rsidRDefault="00C14C03" w:rsidP="00175834">
      <w:pPr>
        <w:ind w:firstLine="720"/>
        <w:rPr>
          <w:lang w:val="ru-RU"/>
        </w:rPr>
      </w:pPr>
      <w:r>
        <w:rPr>
          <w:b/>
          <w:bCs/>
          <w:lang w:val="ru-RU"/>
        </w:rPr>
        <w:t>«Справедливая Россия»</w:t>
      </w:r>
      <w:r>
        <w:rPr>
          <w:lang w:val="ru-RU"/>
        </w:rPr>
        <w:t xml:space="preserve"> − 38,00 балла, четвертое место. Отскок за счет соцсетей (тираж) и повестки (четыре максимума по темам). Последняя в СМИ и на телевидении; 20-летие партии пока живет только в своей сети пабликов, при 12,58% позитива.</w:t>
      </w:r>
    </w:p>
    <w:p w:rsidR="000719F7" w:rsidRPr="00AD53A1" w:rsidRDefault="00C14C03" w:rsidP="00175834">
      <w:pPr>
        <w:ind w:firstLine="720"/>
        <w:rPr>
          <w:lang w:val="ru-RU"/>
        </w:rPr>
      </w:pPr>
      <w:r>
        <w:rPr>
          <w:b/>
          <w:bCs/>
          <w:lang w:val="ru-RU"/>
        </w:rPr>
        <w:t>«Новые люди»</w:t>
      </w:r>
      <w:r>
        <w:rPr>
          <w:lang w:val="ru-RU"/>
        </w:rPr>
        <w:t xml:space="preserve"> − 35,22 балла, пятое место. Прирост 21 балл: собственный телеинфоповод (предложения Минфину), третий в стране охват в СМИ, три максимума в повестке. Партия в 2,78 балла от четвертого места. Ограничитель − соцсети: массив удвоился, но остается в 20 раз меньше, чем у ЕР.</w:t>
      </w:r>
    </w:p>
    <w:p w:rsidR="000719F7" w:rsidRPr="00AD53A1" w:rsidRDefault="00C14C03">
      <w:pPr>
        <w:keepNext/>
        <w:spacing w:before="240"/>
        <w:jc w:val="left"/>
        <w:rPr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VI. ТРЕНДЫ И РИСКИ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 xml:space="preserve">1. Телевидение </w:t>
      </w:r>
      <w:r w:rsidR="00175834">
        <w:rPr>
          <w:b/>
          <w:bCs/>
          <w:lang w:val="ru-RU"/>
        </w:rPr>
        <w:t>«</w:t>
      </w:r>
      <w:r>
        <w:rPr>
          <w:b/>
          <w:bCs/>
          <w:lang w:val="ru-RU"/>
        </w:rPr>
        <w:t>открылось</w:t>
      </w:r>
      <w:r w:rsidR="00175834">
        <w:rPr>
          <w:b/>
          <w:bCs/>
          <w:lang w:val="ru-RU"/>
        </w:rPr>
        <w:t>»</w:t>
      </w:r>
      <w:r>
        <w:rPr>
          <w:b/>
          <w:bCs/>
          <w:lang w:val="ru-RU"/>
        </w:rPr>
        <w:t>, но по чужому поводу.</w:t>
      </w:r>
      <w:r>
        <w:rPr>
          <w:lang w:val="ru-RU"/>
        </w:rPr>
        <w:t xml:space="preserve"> 29,5 минут партийного эфира против 16,4 неделей раньше, и половина его − у оппозиции. Повод один − перестановки в правительстве; из пяти партий собственный инфоповод на центральных каналах получили только ЛДПР (слет) и «Новые люди» (предложения Минфину). У КПРФ своих инфоповодов нет, РЕН ТВ не упоминает партию четвертую неделю подряд. </w:t>
      </w:r>
      <w:r>
        <w:rPr>
          <w:i/>
          <w:iCs/>
          <w:lang w:val="ru-RU"/>
        </w:rPr>
        <w:t>Без собственного события на следующей неделе ТВ-контур вернется к режиму «ЕР − 100, остальные − единицы».</w:t>
      </w:r>
      <w:r>
        <w:rPr>
          <w:lang w:val="ru-RU"/>
        </w:rPr>
        <w:t xml:space="preserve"> Ближайшая точка − первое чтение бюджета 29 октября: выступление Г. Зюганова с трибуны и брифинг фракции должны быть упакованы под телеформат.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 xml:space="preserve">2. Второе место </w:t>
      </w:r>
      <w:r w:rsidR="00175834">
        <w:rPr>
          <w:b/>
          <w:bCs/>
          <w:lang w:val="ru-RU"/>
        </w:rPr>
        <w:t xml:space="preserve">КПРФ </w:t>
      </w:r>
      <w:r>
        <w:rPr>
          <w:b/>
          <w:bCs/>
          <w:lang w:val="ru-RU"/>
        </w:rPr>
        <w:t>закреплено на негативе.</w:t>
      </w:r>
      <w:r>
        <w:rPr>
          <w:lang w:val="ru-RU"/>
        </w:rPr>
        <w:t xml:space="preserve"> Арест О.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 − 39% аудитории КПРФ в СМИ (с переименованием городов − 54%) и почти половина просмотров в соцсетях. Это дало партии максимумы по охвату и просмотрам и худшую за серию тональность. Повторить такой всплеск нельзя, а без него медийные контуры вернутся к уровню 30−40 баллов − и преимущество над ЛДПР снова </w:t>
      </w:r>
      <w:r w:rsidR="00175834">
        <w:rPr>
          <w:lang w:val="ru-RU"/>
        </w:rPr>
        <w:t>«</w:t>
      </w:r>
      <w:r>
        <w:rPr>
          <w:lang w:val="ru-RU"/>
        </w:rPr>
        <w:t>с</w:t>
      </w:r>
      <w:r w:rsidR="00175834">
        <w:rPr>
          <w:lang w:val="ru-RU"/>
        </w:rPr>
        <w:t>хлопнется»</w:t>
      </w:r>
      <w:r>
        <w:rPr>
          <w:lang w:val="ru-RU"/>
        </w:rPr>
        <w:t xml:space="preserve">. </w:t>
      </w:r>
      <w:r>
        <w:rPr>
          <w:i/>
          <w:iCs/>
          <w:lang w:val="ru-RU"/>
        </w:rPr>
        <w:t>Удержать второе место можно только повесткой, а она на этой неделе просела: три максимума против пяти неделю назад.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3. Тарифный законопроект внесен, но не услышан.</w:t>
      </w:r>
      <w:r>
        <w:rPr>
          <w:lang w:val="ru-RU"/>
        </w:rPr>
        <w:t xml:space="preserve"> Законопроект о росте тарифов ЖКУ раз в год и не выше инфляции получил 0,2 млн аудитории и ни одного выхода в ТАСС или РИА. ЛДПР тем временем закрыла ЖКХ пятью инициативами и лозунгом «ЖКХ − государству» в эфире Пятого канала. Точка входа прежняя: сопровождение законопроекта региональными запросами, расчетами и «картой тарифов» до первого чтения.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t>4. СВО и миграция − пусто третью неделю подряд.</w:t>
      </w:r>
      <w:r>
        <w:rPr>
          <w:lang w:val="ru-RU"/>
        </w:rPr>
        <w:t xml:space="preserve"> ЛДПР и СР внесли по законопроекту об участниках СВО (омбудсмен, квоты на трудоустройство), ЕР − об учете боевого опыта в стаже; у КПРФ федерального сюжета нет при регулярных конвоях и работе с ветеранами в регионах. Обе темы закрываются одним законопроектом с рассылкой − статус и льготы волонтеров гуманитарных конвоев, позиция фракции по патентам для мигрантов.</w:t>
      </w:r>
    </w:p>
    <w:p w:rsidR="000719F7" w:rsidRPr="00AD53A1" w:rsidRDefault="00C14C03">
      <w:pPr>
        <w:ind w:firstLine="720"/>
        <w:rPr>
          <w:lang w:val="ru-RU"/>
        </w:rPr>
      </w:pPr>
      <w:r>
        <w:rPr>
          <w:b/>
          <w:bCs/>
          <w:lang w:val="ru-RU"/>
        </w:rPr>
        <w:lastRenderedPageBreak/>
        <w:t>5. Реакция на преследования − с отставанием на порядок.</w:t>
      </w:r>
      <w:r>
        <w:rPr>
          <w:lang w:val="ru-RU"/>
        </w:rPr>
        <w:t xml:space="preserve"> Новости о задержании и аресте Михайлова</w:t>
      </w:r>
      <w:r w:rsidR="00933A4C">
        <w:rPr>
          <w:lang w:val="ru-RU"/>
        </w:rPr>
        <w:t>*</w:t>
      </w:r>
      <w:r>
        <w:rPr>
          <w:lang w:val="ru-RU"/>
        </w:rPr>
        <w:t xml:space="preserve"> − 37,5 млн аудитории, ответ партии (Синельщиков, kprf.ru, Цыренов) − десятки тысяч. Без заявления фракции в день события и единой линии («позиция КПРФ», а не комментарии отдельных депутатов) следующий такой эпизод снова станет главной новостью о партии, а «третий коммунист за две недели» − формулой оппозиционных медиа.</w:t>
      </w:r>
    </w:p>
    <w:p w:rsidR="000719F7" w:rsidRPr="00AD53A1" w:rsidRDefault="00C14C03">
      <w:pPr>
        <w:spacing w:after="200"/>
        <w:ind w:firstLine="720"/>
        <w:rPr>
          <w:lang w:val="ru-RU"/>
        </w:rPr>
      </w:pPr>
      <w:r>
        <w:rPr>
          <w:b/>
          <w:bCs/>
          <w:lang w:val="ru-RU"/>
        </w:rPr>
        <w:t xml:space="preserve">6. Предложения на неделю бюджета (26 октября − </w:t>
      </w:r>
      <w:r w:rsidR="00FD0B8C">
        <w:rPr>
          <w:b/>
          <w:bCs/>
          <w:lang w:val="ru-RU"/>
        </w:rPr>
        <w:t>0</w:t>
      </w:r>
      <w:r>
        <w:rPr>
          <w:b/>
          <w:bCs/>
          <w:lang w:val="ru-RU"/>
        </w:rPr>
        <w:t>1 ноября).</w:t>
      </w:r>
      <w:r>
        <w:rPr>
          <w:lang w:val="ru-RU"/>
        </w:rPr>
        <w:t xml:space="preserve"> Вынести альтернативу Г. Зюганова в формат «пять цифр КПРФ по бюджету» с федеральной рассылкой и синхроном для центральных каналов в день первого чтения; дать по одному федеральному выходу в СВО (волонтеры, ветераны) и миграции; довести тарифный законопроект до ТАСС и РИА через региональные кейсы; закрепить «цифровой» блок (плата за госуслуги, защита ЦОД) как постоянную линию с обращениями в Минцифры.</w:t>
      </w:r>
    </w:p>
    <w:p w:rsidR="000719F7" w:rsidRDefault="00C14C03">
      <w:pPr>
        <w:spacing w:before="200" w:after="40"/>
        <w:jc w:val="right"/>
        <w:rPr>
          <w:lang w:val="ru-RU"/>
        </w:rPr>
      </w:pPr>
      <w:r>
        <w:rPr>
          <w:b/>
          <w:i/>
          <w:sz w:val="24"/>
          <w:szCs w:val="24"/>
          <w:u w:val="single"/>
          <w:lang w:val="ru-RU"/>
        </w:rPr>
        <w:t>Подготовили:</w:t>
      </w:r>
    </w:p>
    <w:p w:rsidR="000719F7" w:rsidRDefault="00C14C03">
      <w:pPr>
        <w:spacing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С.П. Обухов</w:t>
      </w:r>
      <w:r>
        <w:rPr>
          <w:i/>
          <w:sz w:val="24"/>
          <w:szCs w:val="24"/>
          <w:lang w:val="ru-RU"/>
        </w:rPr>
        <w:t>, доктор политических наук</w:t>
      </w:r>
    </w:p>
    <w:p w:rsidR="000719F7" w:rsidRDefault="00C14C03">
      <w:pPr>
        <w:spacing w:after="40"/>
        <w:jc w:val="right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 xml:space="preserve">А.М. Михальчук, И.М. Куприянова, </w:t>
      </w:r>
    </w:p>
    <w:p w:rsidR="000719F7" w:rsidRDefault="00C14C03">
      <w:pPr>
        <w:spacing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А.М. Богачев, А.В. Червонцев</w:t>
      </w:r>
    </w:p>
    <w:p w:rsidR="000719F7" w:rsidRDefault="00C14C03">
      <w:pPr>
        <w:spacing w:before="120" w:after="40"/>
        <w:jc w:val="right"/>
        <w:rPr>
          <w:lang w:val="ru-RU"/>
        </w:rPr>
      </w:pPr>
      <w:r>
        <w:rPr>
          <w:b/>
          <w:i/>
          <w:sz w:val="24"/>
          <w:szCs w:val="24"/>
          <w:u w:val="single"/>
          <w:lang w:val="ru-RU"/>
        </w:rPr>
        <w:t>ТВ-мониторинг:</w:t>
      </w:r>
    </w:p>
    <w:p w:rsidR="000719F7" w:rsidRDefault="00C14C03">
      <w:pPr>
        <w:spacing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А.А. Гавалова, А.Н. Васильцова</w:t>
      </w:r>
    </w:p>
    <w:p w:rsidR="000719F7" w:rsidRDefault="00C14C03">
      <w:pPr>
        <w:spacing w:before="120" w:after="40"/>
        <w:jc w:val="right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u w:val="single"/>
          <w:lang w:val="ru-RU"/>
        </w:rPr>
        <w:t>Ответственный за выпуск:</w:t>
      </w:r>
      <w:r>
        <w:rPr>
          <w:b/>
          <w:i/>
          <w:sz w:val="24"/>
          <w:szCs w:val="24"/>
          <w:lang w:val="ru-RU"/>
        </w:rPr>
        <w:t xml:space="preserve"> </w:t>
      </w:r>
    </w:p>
    <w:p w:rsidR="000719F7" w:rsidRDefault="00C14C03">
      <w:pPr>
        <w:spacing w:before="120"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С.П. Обухов</w:t>
      </w:r>
      <w:r>
        <w:rPr>
          <w:i/>
          <w:sz w:val="24"/>
          <w:szCs w:val="24"/>
          <w:lang w:val="ru-RU"/>
        </w:rPr>
        <w:t>, доктор политических наук</w:t>
      </w:r>
    </w:p>
    <w:sectPr w:rsidR="000719F7" w:rsidSect="001555CA">
      <w:footerReference w:type="even" r:id="rId9"/>
      <w:footerReference w:type="default" r:id="rId10"/>
      <w:footerReference w:type="first" r:id="rId11"/>
      <w:pgSz w:w="12240" w:h="15840"/>
      <w:pgMar w:top="1134" w:right="851" w:bottom="1134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1B5" w:rsidRDefault="001821B5">
      <w:pPr>
        <w:spacing w:after="0"/>
      </w:pPr>
      <w:r>
        <w:separator/>
      </w:r>
    </w:p>
  </w:endnote>
  <w:endnote w:type="continuationSeparator" w:id="0">
    <w:p w:rsidR="001821B5" w:rsidRDefault="001821B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 Black">
    <w:altName w:val="Cambria"/>
    <w:charset w:val="00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F7" w:rsidRDefault="000719F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F7" w:rsidRDefault="001555CA">
    <w:pPr>
      <w:pStyle w:val="a8"/>
      <w:jc w:val="center"/>
    </w:pPr>
    <w:r>
      <w:fldChar w:fldCharType="begin"/>
    </w:r>
    <w:r w:rsidR="00C14C03">
      <w:instrText xml:space="preserve"> PAGE </w:instrText>
    </w:r>
    <w:r>
      <w:fldChar w:fldCharType="separate"/>
    </w:r>
    <w:r w:rsidR="00933A4C">
      <w:rPr>
        <w:noProof/>
      </w:rPr>
      <w:t>18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F7" w:rsidRDefault="001555CA">
    <w:pPr>
      <w:pStyle w:val="a8"/>
      <w:jc w:val="center"/>
    </w:pPr>
    <w:r>
      <w:fldChar w:fldCharType="begin"/>
    </w:r>
    <w:r w:rsidR="00C14C03">
      <w:instrText xml:space="preserve"> PAGE </w:instrText>
    </w:r>
    <w:r>
      <w:fldChar w:fldCharType="separate"/>
    </w:r>
    <w:r w:rsidR="00C14C03">
      <w:t>19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1B5" w:rsidRDefault="001821B5">
      <w:pPr>
        <w:spacing w:after="0"/>
      </w:pPr>
      <w:r>
        <w:separator/>
      </w:r>
    </w:p>
  </w:footnote>
  <w:footnote w:type="continuationSeparator" w:id="0">
    <w:p w:rsidR="001821B5" w:rsidRDefault="001821B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9773C"/>
    <w:multiLevelType w:val="multilevel"/>
    <w:tmpl w:val="0E32D9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44BA5BE7"/>
    <w:multiLevelType w:val="multilevel"/>
    <w:tmpl w:val="CF604E3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57B4971"/>
    <w:multiLevelType w:val="multilevel"/>
    <w:tmpl w:val="67FA46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9CA2188"/>
    <w:multiLevelType w:val="multilevel"/>
    <w:tmpl w:val="119E2C0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7A6D7D1E"/>
    <w:multiLevelType w:val="multilevel"/>
    <w:tmpl w:val="6E5A042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7D8C3A3B"/>
    <w:multiLevelType w:val="multilevel"/>
    <w:tmpl w:val="38C06CA8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7E916016"/>
    <w:multiLevelType w:val="multilevel"/>
    <w:tmpl w:val="D090B670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719F7"/>
    <w:rsid w:val="000719F7"/>
    <w:rsid w:val="001555CA"/>
    <w:rsid w:val="00175834"/>
    <w:rsid w:val="001821B5"/>
    <w:rsid w:val="00933A4C"/>
    <w:rsid w:val="00AD53A1"/>
    <w:rsid w:val="00C14C03"/>
    <w:rsid w:val="00FD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Cambria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1">
    <w:name w:val="Normal"/>
    <w:qFormat/>
    <w:rsid w:val="001555CA"/>
    <w:pPr>
      <w:spacing w:after="120"/>
      <w:jc w:val="both"/>
    </w:pPr>
    <w:rPr>
      <w:rFonts w:ascii="Times New Roman" w:hAnsi="Times New Roman"/>
      <w:sz w:val="28"/>
      <w:lang w:val="en-US" w:eastAsia="en-US"/>
    </w:rPr>
  </w:style>
  <w:style w:type="paragraph" w:styleId="1">
    <w:name w:val="heading 1"/>
    <w:basedOn w:val="a1"/>
    <w:next w:val="a1"/>
    <w:link w:val="10"/>
    <w:uiPriority w:val="99"/>
    <w:qFormat/>
    <w:rsid w:val="001555CA"/>
    <w:pPr>
      <w:keepNext/>
      <w:keepLines/>
      <w:spacing w:before="480" w:after="0"/>
      <w:outlineLvl w:val="0"/>
    </w:pPr>
    <w:rPr>
      <w:rFonts w:ascii="Calibri" w:eastAsia="MS Gothic" w:hAnsi="Calibri" w:cs="Calibri"/>
      <w:b/>
      <w:bCs/>
      <w:color w:val="365F91"/>
      <w:szCs w:val="28"/>
    </w:rPr>
  </w:style>
  <w:style w:type="paragraph" w:styleId="21">
    <w:name w:val="heading 2"/>
    <w:basedOn w:val="a1"/>
    <w:next w:val="a1"/>
    <w:link w:val="22"/>
    <w:uiPriority w:val="99"/>
    <w:qFormat/>
    <w:rsid w:val="001555CA"/>
    <w:pPr>
      <w:keepNext/>
      <w:keepLines/>
      <w:spacing w:before="200" w:after="0"/>
      <w:outlineLvl w:val="1"/>
    </w:pPr>
    <w:rPr>
      <w:rFonts w:ascii="Calibri" w:eastAsia="MS Gothic" w:hAnsi="Calibri" w:cs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9"/>
    <w:qFormat/>
    <w:rsid w:val="001555CA"/>
    <w:pPr>
      <w:keepNext/>
      <w:keepLines/>
      <w:spacing w:before="200" w:after="0"/>
      <w:outlineLvl w:val="2"/>
    </w:pPr>
    <w:rPr>
      <w:rFonts w:ascii="Calibri" w:eastAsia="MS Gothic" w:hAnsi="Calibri" w:cs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9"/>
    <w:qFormat/>
    <w:rsid w:val="001555CA"/>
    <w:pPr>
      <w:keepNext/>
      <w:keepLines/>
      <w:spacing w:before="200" w:after="0"/>
      <w:outlineLvl w:val="3"/>
    </w:pPr>
    <w:rPr>
      <w:rFonts w:ascii="Calibri" w:eastAsia="MS Gothic" w:hAnsi="Calibri" w:cs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9"/>
    <w:qFormat/>
    <w:rsid w:val="001555CA"/>
    <w:pPr>
      <w:keepNext/>
      <w:keepLines/>
      <w:spacing w:before="200" w:after="0"/>
      <w:outlineLvl w:val="4"/>
    </w:pPr>
    <w:rPr>
      <w:rFonts w:ascii="Calibri" w:eastAsia="MS Gothic" w:hAnsi="Calibri" w:cs="Calibri"/>
      <w:color w:val="243F60"/>
    </w:rPr>
  </w:style>
  <w:style w:type="paragraph" w:styleId="6">
    <w:name w:val="heading 6"/>
    <w:basedOn w:val="a1"/>
    <w:next w:val="a1"/>
    <w:link w:val="60"/>
    <w:uiPriority w:val="99"/>
    <w:qFormat/>
    <w:rsid w:val="001555CA"/>
    <w:pPr>
      <w:keepNext/>
      <w:keepLines/>
      <w:spacing w:before="200" w:after="0"/>
      <w:outlineLvl w:val="5"/>
    </w:pPr>
    <w:rPr>
      <w:rFonts w:ascii="Calibri" w:eastAsia="MS Gothic" w:hAnsi="Calibri" w:cs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9"/>
    <w:qFormat/>
    <w:rsid w:val="001555CA"/>
    <w:pPr>
      <w:keepNext/>
      <w:keepLines/>
      <w:spacing w:before="200" w:after="0"/>
      <w:outlineLvl w:val="6"/>
    </w:pPr>
    <w:rPr>
      <w:rFonts w:ascii="Calibri" w:eastAsia="MS Gothic" w:hAnsi="Calibri" w:cs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9"/>
    <w:qFormat/>
    <w:rsid w:val="001555CA"/>
    <w:pPr>
      <w:keepNext/>
      <w:keepLines/>
      <w:spacing w:before="200" w:after="0"/>
      <w:outlineLvl w:val="7"/>
    </w:pPr>
    <w:rPr>
      <w:rFonts w:ascii="Calibri" w:eastAsia="MS Gothic" w:hAnsi="Calibri" w:cs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9"/>
    <w:qFormat/>
    <w:rsid w:val="001555CA"/>
    <w:pPr>
      <w:keepNext/>
      <w:keepLines/>
      <w:spacing w:before="200" w:after="0"/>
      <w:outlineLvl w:val="8"/>
    </w:pPr>
    <w:rPr>
      <w:rFonts w:ascii="Calibri" w:eastAsia="MS Gothic" w:hAnsi="Calibri" w:cs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qFormat/>
    <w:locked/>
    <w:rsid w:val="001555CA"/>
    <w:rPr>
      <w:rFonts w:ascii="Calibri" w:eastAsia="MS Gothic" w:hAnsi="Calibri" w:cs="Calibri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9"/>
    <w:qFormat/>
    <w:locked/>
    <w:rsid w:val="001555CA"/>
    <w:rPr>
      <w:rFonts w:ascii="Calibri" w:eastAsia="MS Gothic" w:hAnsi="Calibri" w:cs="Calibri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9"/>
    <w:qFormat/>
    <w:locked/>
    <w:rsid w:val="001555CA"/>
    <w:rPr>
      <w:rFonts w:ascii="Calibri" w:eastAsia="MS Gothic" w:hAnsi="Calibri" w:cs="Calibri"/>
      <w:b/>
      <w:bCs/>
      <w:color w:val="4F81BD"/>
    </w:rPr>
  </w:style>
  <w:style w:type="character" w:customStyle="1" w:styleId="40">
    <w:name w:val="Заголовок 4 Знак"/>
    <w:basedOn w:val="a2"/>
    <w:link w:val="4"/>
    <w:uiPriority w:val="99"/>
    <w:semiHidden/>
    <w:qFormat/>
    <w:locked/>
    <w:rsid w:val="001555CA"/>
    <w:rPr>
      <w:rFonts w:ascii="Calibri" w:eastAsia="MS Gothic" w:hAnsi="Calibri" w:cs="Calibri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9"/>
    <w:semiHidden/>
    <w:qFormat/>
    <w:locked/>
    <w:rsid w:val="001555CA"/>
    <w:rPr>
      <w:rFonts w:ascii="Calibri" w:eastAsia="MS Gothic" w:hAnsi="Calibri" w:cs="Calibri"/>
      <w:color w:val="243F60"/>
    </w:rPr>
  </w:style>
  <w:style w:type="character" w:customStyle="1" w:styleId="60">
    <w:name w:val="Заголовок 6 Знак"/>
    <w:basedOn w:val="a2"/>
    <w:link w:val="6"/>
    <w:uiPriority w:val="99"/>
    <w:semiHidden/>
    <w:qFormat/>
    <w:locked/>
    <w:rsid w:val="001555CA"/>
    <w:rPr>
      <w:rFonts w:ascii="Calibri" w:eastAsia="MS Gothic" w:hAnsi="Calibri" w:cs="Calibri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9"/>
    <w:semiHidden/>
    <w:qFormat/>
    <w:locked/>
    <w:rsid w:val="001555CA"/>
    <w:rPr>
      <w:rFonts w:ascii="Calibri" w:eastAsia="MS Gothic" w:hAnsi="Calibri" w:cs="Calibri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9"/>
    <w:semiHidden/>
    <w:qFormat/>
    <w:locked/>
    <w:rsid w:val="001555CA"/>
    <w:rPr>
      <w:rFonts w:ascii="Calibri" w:eastAsia="MS Gothic" w:hAnsi="Calibri" w:cs="Calibri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9"/>
    <w:semiHidden/>
    <w:qFormat/>
    <w:locked/>
    <w:rsid w:val="001555CA"/>
    <w:rPr>
      <w:rFonts w:ascii="Calibri" w:eastAsia="MS Gothic" w:hAnsi="Calibri" w:cs="Calibri"/>
      <w:i/>
      <w:iCs/>
      <w:color w:val="404040"/>
      <w:sz w:val="20"/>
      <w:szCs w:val="20"/>
    </w:rPr>
  </w:style>
  <w:style w:type="character" w:customStyle="1" w:styleId="a5">
    <w:name w:val="Верхний колонтитул Знак"/>
    <w:basedOn w:val="a2"/>
    <w:link w:val="a6"/>
    <w:uiPriority w:val="99"/>
    <w:qFormat/>
    <w:locked/>
    <w:rsid w:val="001555CA"/>
    <w:rPr>
      <w:rFonts w:cs="Times New Roman"/>
    </w:rPr>
  </w:style>
  <w:style w:type="character" w:customStyle="1" w:styleId="a7">
    <w:name w:val="Нижний колонтитул Знак"/>
    <w:basedOn w:val="a2"/>
    <w:link w:val="a8"/>
    <w:uiPriority w:val="99"/>
    <w:qFormat/>
    <w:locked/>
    <w:rsid w:val="001555CA"/>
    <w:rPr>
      <w:rFonts w:cs="Times New Roman"/>
    </w:rPr>
  </w:style>
  <w:style w:type="character" w:customStyle="1" w:styleId="a9">
    <w:name w:val="Название Знак"/>
    <w:basedOn w:val="a2"/>
    <w:link w:val="aa"/>
    <w:uiPriority w:val="99"/>
    <w:qFormat/>
    <w:locked/>
    <w:rsid w:val="001555CA"/>
    <w:rPr>
      <w:rFonts w:ascii="Calibri" w:eastAsia="MS Gothic" w:hAnsi="Calibri" w:cs="Calibri"/>
      <w:color w:val="17365D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99"/>
    <w:qFormat/>
    <w:locked/>
    <w:rsid w:val="001555CA"/>
    <w:rPr>
      <w:rFonts w:ascii="Calibri" w:eastAsia="MS Gothic" w:hAnsi="Calibri" w:cs="Calibri"/>
      <w:i/>
      <w:iCs/>
      <w:color w:val="4F81BD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locked/>
    <w:rsid w:val="001555CA"/>
    <w:rPr>
      <w:rFonts w:cs="Times New Roman"/>
    </w:rPr>
  </w:style>
  <w:style w:type="character" w:customStyle="1" w:styleId="23">
    <w:name w:val="Основной текст 2 Знак"/>
    <w:basedOn w:val="a2"/>
    <w:link w:val="24"/>
    <w:uiPriority w:val="99"/>
    <w:qFormat/>
    <w:locked/>
    <w:rsid w:val="001555CA"/>
    <w:rPr>
      <w:rFonts w:cs="Times New Roman"/>
    </w:rPr>
  </w:style>
  <w:style w:type="character" w:customStyle="1" w:styleId="33">
    <w:name w:val="Основной текст 3 Знак"/>
    <w:basedOn w:val="a2"/>
    <w:link w:val="34"/>
    <w:uiPriority w:val="99"/>
    <w:qFormat/>
    <w:locked/>
    <w:rsid w:val="001555CA"/>
    <w:rPr>
      <w:rFonts w:cs="Times New Roman"/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locked/>
    <w:rsid w:val="001555CA"/>
    <w:rPr>
      <w:rFonts w:ascii="Courier" w:hAnsi="Courier" w:cs="Times New Roman"/>
      <w:lang w:val="en-US" w:eastAsia="en-US" w:bidi="ar-SA"/>
    </w:rPr>
  </w:style>
  <w:style w:type="character" w:customStyle="1" w:styleId="25">
    <w:name w:val="Цитата 2 Знак"/>
    <w:basedOn w:val="a2"/>
    <w:link w:val="26"/>
    <w:uiPriority w:val="99"/>
    <w:qFormat/>
    <w:locked/>
    <w:rsid w:val="001555CA"/>
    <w:rPr>
      <w:rFonts w:cs="Times New Roman"/>
      <w:i/>
      <w:iCs/>
      <w:color w:val="000000"/>
    </w:rPr>
  </w:style>
  <w:style w:type="character" w:styleId="af1">
    <w:name w:val="Strong"/>
    <w:basedOn w:val="a2"/>
    <w:uiPriority w:val="99"/>
    <w:qFormat/>
    <w:rsid w:val="001555CA"/>
    <w:rPr>
      <w:rFonts w:cs="Times New Roman"/>
      <w:b/>
      <w:bCs/>
    </w:rPr>
  </w:style>
  <w:style w:type="character" w:styleId="af2">
    <w:name w:val="Emphasis"/>
    <w:basedOn w:val="a2"/>
    <w:uiPriority w:val="99"/>
    <w:qFormat/>
    <w:rsid w:val="001555CA"/>
    <w:rPr>
      <w:rFonts w:cs="Times New Roman"/>
      <w:i/>
      <w:iCs/>
    </w:rPr>
  </w:style>
  <w:style w:type="character" w:customStyle="1" w:styleId="af3">
    <w:name w:val="Выделенная цитата Знак"/>
    <w:basedOn w:val="a2"/>
    <w:link w:val="af4"/>
    <w:uiPriority w:val="99"/>
    <w:qFormat/>
    <w:locked/>
    <w:rsid w:val="001555CA"/>
    <w:rPr>
      <w:rFonts w:cs="Times New Roman"/>
      <w:b/>
      <w:bCs/>
      <w:i/>
      <w:iCs/>
      <w:color w:val="4F81BD"/>
    </w:rPr>
  </w:style>
  <w:style w:type="character" w:styleId="af5">
    <w:name w:val="Subtle Emphasis"/>
    <w:basedOn w:val="a2"/>
    <w:uiPriority w:val="99"/>
    <w:qFormat/>
    <w:rsid w:val="001555CA"/>
    <w:rPr>
      <w:rFonts w:cs="Times New Roman"/>
      <w:i/>
      <w:iCs/>
      <w:color w:val="808080"/>
    </w:rPr>
  </w:style>
  <w:style w:type="character" w:styleId="af6">
    <w:name w:val="Intense Emphasis"/>
    <w:basedOn w:val="a2"/>
    <w:uiPriority w:val="99"/>
    <w:qFormat/>
    <w:rsid w:val="001555CA"/>
    <w:rPr>
      <w:rFonts w:cs="Times New Roman"/>
      <w:b/>
      <w:bCs/>
      <w:i/>
      <w:iCs/>
      <w:color w:val="4F81BD"/>
    </w:rPr>
  </w:style>
  <w:style w:type="character" w:styleId="af7">
    <w:name w:val="Subtle Reference"/>
    <w:basedOn w:val="a2"/>
    <w:uiPriority w:val="99"/>
    <w:qFormat/>
    <w:rsid w:val="001555CA"/>
    <w:rPr>
      <w:rFonts w:cs="Times New Roman"/>
      <w:smallCaps/>
      <w:color w:val="C0504D"/>
      <w:u w:val="single"/>
    </w:rPr>
  </w:style>
  <w:style w:type="character" w:styleId="af8">
    <w:name w:val="Intense Reference"/>
    <w:basedOn w:val="a2"/>
    <w:uiPriority w:val="99"/>
    <w:qFormat/>
    <w:rsid w:val="001555CA"/>
    <w:rPr>
      <w:rFonts w:cs="Times New Roman"/>
      <w:b/>
      <w:bCs/>
      <w:smallCaps/>
      <w:color w:val="C0504D"/>
      <w:spacing w:val="5"/>
      <w:u w:val="single"/>
    </w:rPr>
  </w:style>
  <w:style w:type="character" w:styleId="af9">
    <w:name w:val="Book Title"/>
    <w:basedOn w:val="a2"/>
    <w:uiPriority w:val="99"/>
    <w:qFormat/>
    <w:rsid w:val="001555CA"/>
    <w:rPr>
      <w:rFonts w:cs="Times New Roman"/>
      <w:b/>
      <w:bCs/>
      <w:smallCaps/>
      <w:spacing w:val="5"/>
    </w:rPr>
  </w:style>
  <w:style w:type="character" w:customStyle="1" w:styleId="BodyTextChar1">
    <w:name w:val="Body Text Char1"/>
    <w:basedOn w:val="a2"/>
    <w:uiPriority w:val="99"/>
    <w:semiHidden/>
    <w:qFormat/>
    <w:rsid w:val="00E96D4B"/>
    <w:rPr>
      <w:rFonts w:ascii="Times New Roman" w:hAnsi="Times New Roman"/>
      <w:sz w:val="28"/>
      <w:lang w:val="en-US" w:eastAsia="en-US"/>
    </w:rPr>
  </w:style>
  <w:style w:type="character" w:customStyle="1" w:styleId="HeaderChar1">
    <w:name w:val="Header Char1"/>
    <w:basedOn w:val="a2"/>
    <w:uiPriority w:val="99"/>
    <w:semiHidden/>
    <w:qFormat/>
    <w:rsid w:val="00E96D4B"/>
    <w:rPr>
      <w:rFonts w:ascii="Times New Roman" w:hAnsi="Times New Roman"/>
      <w:sz w:val="28"/>
      <w:lang w:val="en-US" w:eastAsia="en-US"/>
    </w:rPr>
  </w:style>
  <w:style w:type="character" w:customStyle="1" w:styleId="FooterChar1">
    <w:name w:val="Footer Char1"/>
    <w:basedOn w:val="a2"/>
    <w:uiPriority w:val="99"/>
    <w:semiHidden/>
    <w:qFormat/>
    <w:rsid w:val="00E96D4B"/>
    <w:rPr>
      <w:rFonts w:ascii="Times New Roman" w:hAnsi="Times New Roman"/>
      <w:sz w:val="28"/>
      <w:lang w:val="en-US" w:eastAsia="en-US"/>
    </w:rPr>
  </w:style>
  <w:style w:type="character" w:customStyle="1" w:styleId="TitleChar1">
    <w:name w:val="Title Char1"/>
    <w:basedOn w:val="a2"/>
    <w:uiPriority w:val="10"/>
    <w:qFormat/>
    <w:rsid w:val="00E96D4B"/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en-US"/>
    </w:rPr>
  </w:style>
  <w:style w:type="character" w:customStyle="1" w:styleId="SubtitleChar1">
    <w:name w:val="Subtitle Char1"/>
    <w:basedOn w:val="a2"/>
    <w:uiPriority w:val="11"/>
    <w:qFormat/>
    <w:rsid w:val="00E96D4B"/>
    <w:rPr>
      <w:rFonts w:asciiTheme="majorHAnsi" w:eastAsiaTheme="majorEastAsia" w:hAnsiTheme="majorHAnsi" w:cstheme="majorBidi"/>
      <w:sz w:val="24"/>
      <w:szCs w:val="24"/>
      <w:lang w:val="en-US" w:eastAsia="en-US"/>
    </w:rPr>
  </w:style>
  <w:style w:type="character" w:customStyle="1" w:styleId="BodyText2Char1">
    <w:name w:val="Body Text 2 Char1"/>
    <w:basedOn w:val="a2"/>
    <w:uiPriority w:val="99"/>
    <w:semiHidden/>
    <w:qFormat/>
    <w:rsid w:val="00E96D4B"/>
    <w:rPr>
      <w:rFonts w:ascii="Times New Roman" w:hAnsi="Times New Roman"/>
      <w:sz w:val="28"/>
      <w:lang w:val="en-US" w:eastAsia="en-US"/>
    </w:rPr>
  </w:style>
  <w:style w:type="character" w:customStyle="1" w:styleId="BodyText3Char1">
    <w:name w:val="Body Text 3 Char1"/>
    <w:basedOn w:val="a2"/>
    <w:uiPriority w:val="99"/>
    <w:semiHidden/>
    <w:qFormat/>
    <w:rsid w:val="00E96D4B"/>
    <w:rPr>
      <w:rFonts w:ascii="Times New Roman" w:hAnsi="Times New Roman"/>
      <w:sz w:val="16"/>
      <w:szCs w:val="16"/>
      <w:lang w:val="en-US" w:eastAsia="en-US"/>
    </w:rPr>
  </w:style>
  <w:style w:type="character" w:customStyle="1" w:styleId="MacroTextChar1">
    <w:name w:val="Macro Text Char1"/>
    <w:basedOn w:val="a2"/>
    <w:uiPriority w:val="99"/>
    <w:semiHidden/>
    <w:qFormat/>
    <w:rsid w:val="00E96D4B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QuoteChar1">
    <w:name w:val="Quote Char1"/>
    <w:basedOn w:val="a2"/>
    <w:uiPriority w:val="29"/>
    <w:qFormat/>
    <w:rsid w:val="00E96D4B"/>
    <w:rPr>
      <w:rFonts w:ascii="Times New Roman" w:hAnsi="Times New Roman"/>
      <w:i/>
      <w:iCs/>
      <w:color w:val="000000" w:themeColor="text1"/>
      <w:sz w:val="28"/>
      <w:lang w:val="en-US" w:eastAsia="en-US"/>
    </w:rPr>
  </w:style>
  <w:style w:type="character" w:customStyle="1" w:styleId="IntenseQuoteChar1">
    <w:name w:val="Intense Quote Char1"/>
    <w:basedOn w:val="a2"/>
    <w:uiPriority w:val="30"/>
    <w:qFormat/>
    <w:rsid w:val="00E96D4B"/>
    <w:rPr>
      <w:rFonts w:ascii="Times New Roman" w:hAnsi="Times New Roman"/>
      <w:b/>
      <w:bCs/>
      <w:i/>
      <w:iCs/>
      <w:color w:val="4F81BD" w:themeColor="accent1"/>
      <w:sz w:val="28"/>
      <w:lang w:val="en-US" w:eastAsia="en-US"/>
    </w:rPr>
  </w:style>
  <w:style w:type="paragraph" w:customStyle="1" w:styleId="Heading">
    <w:name w:val="Heading"/>
    <w:basedOn w:val="a1"/>
    <w:next w:val="ae"/>
    <w:uiPriority w:val="99"/>
    <w:qFormat/>
    <w:rsid w:val="00227E51"/>
    <w:pPr>
      <w:keepNext/>
      <w:spacing w:before="240"/>
    </w:pPr>
    <w:rPr>
      <w:rFonts w:ascii="Liberation Sans" w:hAnsi="Liberation Sans" w:cs="FreeSans"/>
      <w:szCs w:val="28"/>
    </w:rPr>
  </w:style>
  <w:style w:type="paragraph" w:styleId="ae">
    <w:name w:val="Body Text"/>
    <w:basedOn w:val="a1"/>
    <w:link w:val="ad"/>
    <w:uiPriority w:val="99"/>
    <w:rsid w:val="001555CA"/>
  </w:style>
  <w:style w:type="paragraph" w:styleId="afa">
    <w:name w:val="List"/>
    <w:basedOn w:val="a1"/>
    <w:uiPriority w:val="99"/>
    <w:rsid w:val="001555CA"/>
    <w:pPr>
      <w:ind w:left="360" w:hanging="360"/>
      <w:contextualSpacing/>
    </w:pPr>
  </w:style>
  <w:style w:type="paragraph" w:styleId="afb">
    <w:name w:val="caption"/>
    <w:basedOn w:val="a1"/>
    <w:next w:val="a1"/>
    <w:uiPriority w:val="99"/>
    <w:qFormat/>
    <w:rsid w:val="001555CA"/>
    <w:rPr>
      <w:b/>
      <w:bCs/>
      <w:color w:val="4F81BD"/>
      <w:sz w:val="18"/>
      <w:szCs w:val="18"/>
    </w:rPr>
  </w:style>
  <w:style w:type="paragraph" w:customStyle="1" w:styleId="Index">
    <w:name w:val="Index"/>
    <w:basedOn w:val="a1"/>
    <w:uiPriority w:val="99"/>
    <w:qFormat/>
    <w:rsid w:val="00227E51"/>
    <w:pPr>
      <w:suppressLineNumbers/>
    </w:pPr>
    <w:rPr>
      <w:rFonts w:cs="FreeSans"/>
    </w:rPr>
  </w:style>
  <w:style w:type="paragraph" w:customStyle="1" w:styleId="HeaderandFooter">
    <w:name w:val="Header and Footer"/>
    <w:basedOn w:val="a1"/>
    <w:uiPriority w:val="99"/>
    <w:qFormat/>
    <w:rsid w:val="00227E51"/>
  </w:style>
  <w:style w:type="paragraph" w:styleId="a6">
    <w:name w:val="header"/>
    <w:basedOn w:val="a1"/>
    <w:link w:val="a5"/>
    <w:uiPriority w:val="99"/>
    <w:rsid w:val="001555CA"/>
    <w:pPr>
      <w:tabs>
        <w:tab w:val="center" w:pos="4680"/>
        <w:tab w:val="right" w:pos="9360"/>
      </w:tabs>
      <w:spacing w:after="0"/>
    </w:pPr>
  </w:style>
  <w:style w:type="paragraph" w:styleId="a8">
    <w:name w:val="footer"/>
    <w:basedOn w:val="a1"/>
    <w:link w:val="a7"/>
    <w:uiPriority w:val="99"/>
    <w:rsid w:val="001555CA"/>
    <w:pPr>
      <w:tabs>
        <w:tab w:val="center" w:pos="4680"/>
        <w:tab w:val="right" w:pos="9360"/>
      </w:tabs>
      <w:spacing w:after="0"/>
    </w:pPr>
  </w:style>
  <w:style w:type="paragraph" w:styleId="afc">
    <w:name w:val="No Spacing"/>
    <w:uiPriority w:val="99"/>
    <w:qFormat/>
    <w:rsid w:val="001555CA"/>
    <w:rPr>
      <w:lang w:val="en-US" w:eastAsia="en-US"/>
    </w:rPr>
  </w:style>
  <w:style w:type="paragraph" w:styleId="aa">
    <w:name w:val="Title"/>
    <w:basedOn w:val="a1"/>
    <w:next w:val="a1"/>
    <w:link w:val="a9"/>
    <w:uiPriority w:val="99"/>
    <w:qFormat/>
    <w:rsid w:val="001555C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 w:cs="Calibri"/>
      <w:color w:val="17365D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99"/>
    <w:qFormat/>
    <w:rsid w:val="001555CA"/>
    <w:rPr>
      <w:rFonts w:ascii="Calibri" w:eastAsia="MS Gothic" w:hAnsi="Calibri" w:cs="Calibri"/>
      <w:i/>
      <w:iCs/>
      <w:color w:val="4F81BD"/>
      <w:spacing w:val="15"/>
      <w:sz w:val="24"/>
      <w:szCs w:val="24"/>
    </w:rPr>
  </w:style>
  <w:style w:type="paragraph" w:styleId="afd">
    <w:name w:val="List Paragraph"/>
    <w:basedOn w:val="a1"/>
    <w:uiPriority w:val="99"/>
    <w:qFormat/>
    <w:rsid w:val="001555CA"/>
    <w:pPr>
      <w:ind w:left="720"/>
      <w:contextualSpacing/>
    </w:pPr>
  </w:style>
  <w:style w:type="paragraph" w:styleId="24">
    <w:name w:val="Body Text 2"/>
    <w:basedOn w:val="a1"/>
    <w:link w:val="23"/>
    <w:uiPriority w:val="99"/>
    <w:qFormat/>
    <w:rsid w:val="001555CA"/>
    <w:pPr>
      <w:spacing w:line="480" w:lineRule="auto"/>
    </w:pPr>
  </w:style>
  <w:style w:type="paragraph" w:styleId="34">
    <w:name w:val="Body Text 3"/>
    <w:basedOn w:val="a1"/>
    <w:link w:val="33"/>
    <w:uiPriority w:val="99"/>
    <w:qFormat/>
    <w:rsid w:val="001555CA"/>
    <w:rPr>
      <w:sz w:val="16"/>
      <w:szCs w:val="16"/>
    </w:rPr>
  </w:style>
  <w:style w:type="paragraph" w:styleId="27">
    <w:name w:val="List 2"/>
    <w:basedOn w:val="a1"/>
    <w:uiPriority w:val="99"/>
    <w:qFormat/>
    <w:rsid w:val="001555CA"/>
    <w:pPr>
      <w:ind w:left="720" w:hanging="360"/>
      <w:contextualSpacing/>
    </w:pPr>
  </w:style>
  <w:style w:type="paragraph" w:styleId="35">
    <w:name w:val="List 3"/>
    <w:basedOn w:val="a1"/>
    <w:uiPriority w:val="99"/>
    <w:qFormat/>
    <w:rsid w:val="001555CA"/>
    <w:pPr>
      <w:ind w:left="1080" w:hanging="360"/>
      <w:contextualSpacing/>
    </w:pPr>
  </w:style>
  <w:style w:type="paragraph" w:styleId="a0">
    <w:name w:val="List Bullet"/>
    <w:basedOn w:val="a1"/>
    <w:uiPriority w:val="99"/>
    <w:rsid w:val="001555CA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rsid w:val="001555CA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rsid w:val="001555CA"/>
    <w:pPr>
      <w:numPr>
        <w:numId w:val="3"/>
      </w:numPr>
      <w:contextualSpacing/>
    </w:pPr>
  </w:style>
  <w:style w:type="paragraph" w:styleId="a">
    <w:name w:val="List Number"/>
    <w:basedOn w:val="a1"/>
    <w:uiPriority w:val="99"/>
    <w:rsid w:val="001555CA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rsid w:val="001555CA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rsid w:val="001555CA"/>
    <w:pPr>
      <w:numPr>
        <w:numId w:val="6"/>
      </w:numPr>
      <w:contextualSpacing/>
    </w:pPr>
  </w:style>
  <w:style w:type="paragraph" w:styleId="afe">
    <w:name w:val="List Continue"/>
    <w:basedOn w:val="a1"/>
    <w:uiPriority w:val="99"/>
    <w:rsid w:val="001555CA"/>
    <w:pPr>
      <w:ind w:left="360"/>
      <w:contextualSpacing/>
    </w:pPr>
  </w:style>
  <w:style w:type="paragraph" w:styleId="28">
    <w:name w:val="List Continue 2"/>
    <w:basedOn w:val="a1"/>
    <w:uiPriority w:val="99"/>
    <w:rsid w:val="001555CA"/>
    <w:pPr>
      <w:ind w:left="720"/>
      <w:contextualSpacing/>
    </w:pPr>
  </w:style>
  <w:style w:type="paragraph" w:styleId="36">
    <w:name w:val="List Continue 3"/>
    <w:basedOn w:val="a1"/>
    <w:uiPriority w:val="99"/>
    <w:rsid w:val="001555CA"/>
    <w:pPr>
      <w:ind w:left="1080"/>
      <w:contextualSpacing/>
    </w:pPr>
  </w:style>
  <w:style w:type="paragraph" w:styleId="af0">
    <w:name w:val="macro"/>
    <w:link w:val="af"/>
    <w:uiPriority w:val="99"/>
    <w:qFormat/>
    <w:rsid w:val="001555C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paragraph" w:styleId="26">
    <w:name w:val="Quote"/>
    <w:basedOn w:val="a1"/>
    <w:next w:val="a1"/>
    <w:link w:val="25"/>
    <w:uiPriority w:val="99"/>
    <w:qFormat/>
    <w:rsid w:val="001555CA"/>
    <w:rPr>
      <w:i/>
      <w:iCs/>
      <w:color w:val="000000"/>
    </w:rPr>
  </w:style>
  <w:style w:type="paragraph" w:styleId="af4">
    <w:name w:val="Intense Quote"/>
    <w:basedOn w:val="a1"/>
    <w:next w:val="a1"/>
    <w:link w:val="af3"/>
    <w:uiPriority w:val="99"/>
    <w:qFormat/>
    <w:rsid w:val="00155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11">
    <w:name w:val="index 1"/>
    <w:basedOn w:val="a1"/>
    <w:next w:val="a1"/>
    <w:autoRedefine/>
    <w:uiPriority w:val="99"/>
    <w:semiHidden/>
    <w:rsid w:val="001555CA"/>
    <w:pPr>
      <w:ind w:left="280" w:hanging="280"/>
    </w:pPr>
  </w:style>
  <w:style w:type="paragraph" w:styleId="aff">
    <w:name w:val="index heading"/>
    <w:basedOn w:val="Heading"/>
    <w:uiPriority w:val="99"/>
    <w:rsid w:val="00227E51"/>
  </w:style>
  <w:style w:type="paragraph" w:styleId="aff0">
    <w:name w:val="TOC Heading"/>
    <w:basedOn w:val="1"/>
    <w:next w:val="a1"/>
    <w:uiPriority w:val="99"/>
    <w:qFormat/>
    <w:rsid w:val="001555CA"/>
    <w:pPr>
      <w:outlineLvl w:val="9"/>
    </w:pPr>
  </w:style>
  <w:style w:type="paragraph" w:styleId="aff1">
    <w:name w:val="Normal (Web)"/>
    <w:basedOn w:val="a1"/>
    <w:uiPriority w:val="99"/>
    <w:qFormat/>
    <w:rsid w:val="00F01D3F"/>
    <w:pPr>
      <w:suppressAutoHyphens w:val="0"/>
      <w:spacing w:beforeAutospacing="1" w:afterAutospacing="1"/>
      <w:jc w:val="left"/>
    </w:pPr>
    <w:rPr>
      <w:rFonts w:eastAsia="Batang" w:cs="Times New Roman"/>
      <w:sz w:val="24"/>
      <w:szCs w:val="24"/>
      <w:lang w:val="ru-RU" w:eastAsia="ko-KR"/>
    </w:rPr>
  </w:style>
  <w:style w:type="table" w:styleId="aff2">
    <w:name w:val="Table Grid"/>
    <w:basedOn w:val="a3"/>
    <w:uiPriority w:val="99"/>
    <w:rsid w:val="001555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4">
    <w:name w:val="Light List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5">
    <w:name w:val="Light Grid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2">
    <w:name w:val="Medium Shading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  <w:tblPr/>
      <w:tcPr>
        <w:shd w:val="clear" w:color="auto" w:fill="E6E6E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  <w:tblPr/>
      <w:tcPr>
        <w:shd w:val="clear" w:color="auto" w:fill="EDF2F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  <w:tblPr/>
      <w:tcPr>
        <w:shd w:val="clear" w:color="auto" w:fill="F8EDED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  <w:tblPr/>
      <w:tcPr>
        <w:shd w:val="clear" w:color="auto" w:fill="F5F8EE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  <w:tblPr/>
      <w:tcPr>
        <w:shd w:val="clear" w:color="auto" w:fill="F2EFF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  <w:tblPr/>
      <w:tcPr>
        <w:shd w:val="clear" w:color="auto" w:fill="EDF6F9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  <w:tblPr/>
      <w:tcPr>
        <w:shd w:val="clear" w:color="auto" w:fill="FEF4EC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6">
    <w:name w:val="Dark List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7">
    <w:name w:val="Colorful Shading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</w:style>
  <w:style w:type="table" w:styleId="-13">
    <w:name w:val="Colorful Shading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4F81BD"/>
          <w:insideV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</w:style>
  <w:style w:type="table" w:styleId="-23">
    <w:name w:val="Colorful Shading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C0504D"/>
          <w:insideV w:val="nil"/>
        </w:tcBorders>
        <w:shd w:val="clear" w:color="auto" w:fill="772C2A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</w:style>
  <w:style w:type="table" w:styleId="-33">
    <w:name w:val="Colorful Shading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9BBB59"/>
          <w:insideV w:val="nil"/>
        </w:tcBorders>
        <w:shd w:val="clear" w:color="auto" w:fill="5E753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8064A2"/>
          <w:insideV w:val="nil"/>
        </w:tcBorders>
        <w:shd w:val="clear" w:color="auto" w:fill="4C3B62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</w:style>
  <w:style w:type="table" w:styleId="-53">
    <w:name w:val="Colorful Shading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4BACC6"/>
          <w:insideV w:val="nil"/>
        </w:tcBorders>
        <w:shd w:val="clear" w:color="auto" w:fill="276A7C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</w:style>
  <w:style w:type="table" w:styleId="-63">
    <w:name w:val="Colorful Shading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F79646"/>
          <w:insideV w:val="nil"/>
        </w:tcBorders>
        <w:shd w:val="clear" w:color="auto" w:fill="B65608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</w:style>
  <w:style w:type="table" w:styleId="aff8">
    <w:name w:val="Colorful List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9">
    <w:name w:val="Colorful Grid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</w:rPr>
      <w:tblPr/>
      <w:tcPr>
        <w:shd w:val="clear" w:color="auto" w:fill="999999"/>
      </w:tcPr>
    </w:tblStylePr>
    <w:tblStylePr w:type="firstCol">
      <w:tblPr/>
      <w:tcPr>
        <w:shd w:val="clear" w:color="auto" w:fill="000000"/>
      </w:tcPr>
    </w:tblStylePr>
    <w:tblStylePr w:type="lastCol"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</w:rPr>
      <w:tblPr/>
      <w:tcPr>
        <w:shd w:val="clear" w:color="auto" w:fill="B8CCE4"/>
      </w:tcPr>
    </w:tblStylePr>
    <w:tblStylePr w:type="firstCol">
      <w:tblPr/>
      <w:tcPr>
        <w:shd w:val="clear" w:color="auto" w:fill="365F91"/>
      </w:tcPr>
    </w:tblStylePr>
    <w:tblStylePr w:type="lastCol"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</w:rPr>
      <w:tblPr/>
      <w:tcPr>
        <w:shd w:val="clear" w:color="auto" w:fill="E5B8B7"/>
      </w:tcPr>
    </w:tblStylePr>
    <w:tblStylePr w:type="firstCol">
      <w:tblPr/>
      <w:tcPr>
        <w:shd w:val="clear" w:color="auto" w:fill="943634"/>
      </w:tcPr>
    </w:tblStylePr>
    <w:tblStylePr w:type="lastCol"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</w:rPr>
      <w:tblPr/>
      <w:tcPr>
        <w:shd w:val="clear" w:color="auto" w:fill="D6E3BC"/>
      </w:tcPr>
    </w:tblStylePr>
    <w:tblStylePr w:type="firstCol">
      <w:tblPr/>
      <w:tcPr>
        <w:shd w:val="clear" w:color="auto" w:fill="76923C"/>
      </w:tcPr>
    </w:tblStylePr>
    <w:tblStylePr w:type="lastCol"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</w:rPr>
      <w:tblPr/>
      <w:tcPr>
        <w:shd w:val="clear" w:color="auto" w:fill="CCC0D9"/>
      </w:tcPr>
    </w:tblStylePr>
    <w:tblStylePr w:type="firstCol">
      <w:tblPr/>
      <w:tcPr>
        <w:shd w:val="clear" w:color="auto" w:fill="5F497A"/>
      </w:tcPr>
    </w:tblStylePr>
    <w:tblStylePr w:type="lastCol"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</w:rPr>
      <w:tblPr/>
      <w:tcPr>
        <w:shd w:val="clear" w:color="auto" w:fill="B6DDE8"/>
      </w:tcPr>
    </w:tblStylePr>
    <w:tblStylePr w:type="firstCol">
      <w:tblPr/>
      <w:tcPr>
        <w:shd w:val="clear" w:color="auto" w:fill="31849B"/>
      </w:tcPr>
    </w:tblStylePr>
    <w:tblStylePr w:type="lastCol"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99"/>
    <w:rsid w:val="001555CA"/>
    <w:rPr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</w:rPr>
      <w:tblPr/>
      <w:tcPr>
        <w:shd w:val="clear" w:color="auto" w:fill="FBD4B4"/>
      </w:tcPr>
    </w:tblStylePr>
    <w:tblStylePr w:type="firstCol">
      <w:tblPr/>
      <w:tcPr>
        <w:shd w:val="clear" w:color="auto" w:fill="E36C0A"/>
      </w:tcPr>
    </w:tblStylePr>
    <w:tblStylePr w:type="lastCol"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933A4C"/>
    <w:pPr>
      <w:spacing w:after="0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933A4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6591</Words>
  <Characters>37572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python-docx</dc:creator>
  <dc:description>generated by python-docx</dc:description>
  <cp:lastModifiedBy>Андрей Червонцев</cp:lastModifiedBy>
  <cp:revision>3</cp:revision>
  <dcterms:created xsi:type="dcterms:W3CDTF">2026-10-27T05:48:00Z</dcterms:created>
  <dcterms:modified xsi:type="dcterms:W3CDTF">2026-10-27T10:37:00Z</dcterms:modified>
  <dc:language>en-US</dc:language>
</cp:coreProperties>
</file>