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6035040" cy="19018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5513705" cy="367601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05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60"/>
        <w:jc w:val="center"/>
        <w:rPr>
          <w:b/>
          <w:b/>
          <w:bCs/>
          <w:sz w:val="44"/>
          <w:szCs w:val="44"/>
          <w:u w:val="single"/>
        </w:rPr>
      </w:pPr>
      <w:r>
        <w:rPr>
          <w:rFonts w:eastAsia="Times New Roman" w:cs="Times New Roman"/>
          <w:b/>
          <w:bCs/>
          <w:sz w:val="44"/>
          <w:szCs w:val="44"/>
          <w:u w:val="single"/>
        </w:rPr>
        <w:t>Топливный кризис в России:</w:t>
      </w:r>
    </w:p>
    <w:p>
      <w:pPr>
        <w:pStyle w:val="Normal"/>
        <w:spacing w:before="0" w:after="160"/>
        <w:jc w:val="center"/>
        <w:rPr/>
      </w:pPr>
      <w:r>
        <w:rPr>
          <w:rFonts w:eastAsia="Times New Roman" w:cs="Times New Roman"/>
          <w:b/>
          <w:bCs/>
          <w:i/>
          <w:iCs/>
          <w:sz w:val="28"/>
          <w:szCs w:val="28"/>
        </w:rPr>
        <w:t>Обзор за 17–23 августа. География очагов, рейтинг интенсивности проявлений в соцмедиа, реакция властей и партий</w:t>
      </w:r>
    </w:p>
    <w:p>
      <w:pPr>
        <w:pStyle w:val="Normal"/>
        <w:spacing w:before="0" w:after="160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Источники данных: </w:t>
      </w:r>
      <w:r>
        <w:rPr>
          <w:rFonts w:eastAsia="Times New Roman" w:cs="Times New Roman"/>
          <w:sz w:val="28"/>
          <w:szCs w:val="28"/>
        </w:rPr>
        <w:t>система мониторинга Крибрум; социальные сети</w:t>
      </w:r>
    </w:p>
    <w:p>
      <w:pPr>
        <w:pStyle w:val="Normal"/>
        <w:spacing w:before="300" w:after="200"/>
        <w:rPr/>
      </w:pPr>
      <w:r>
        <w:rPr>
          <w:rFonts w:eastAsia="Times New Roman" w:cs="Times New Roman"/>
          <w:b/>
          <w:bCs/>
          <w:sz w:val="30"/>
          <w:szCs w:val="30"/>
          <w:u w:val="single"/>
        </w:rPr>
        <w:t>Ключевые выводы</w:t>
      </w:r>
    </w:p>
    <w:p>
      <w:pPr>
        <w:pStyle w:val="ListParagraph"/>
        <w:numPr>
          <w:ilvl w:val="0"/>
          <w:numId w:val="3"/>
        </w:numPr>
        <w:spacing w:before="0" w:after="180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Первый недельный прирост за месяц: спад сменился ростом по всем показателям. </w:t>
      </w:r>
      <w:r>
        <w:rPr>
          <w:rFonts w:eastAsia="Times New Roman" w:cs="Times New Roman"/>
          <w:sz w:val="28"/>
          <w:szCs w:val="28"/>
        </w:rPr>
        <w:t>Сообщения выросли на 12,4% (со 112,6 до 126,6 тыс.), авторы — на 11,5% (с 52 до 58 тыс.), потенциальный охват — на 36,8% (с 804 млн до 1,1 млрд), просмотры — на 26,9% (с 136,6 до 173,3 млн). Внутри недели активность устойчиво росла с понедельника (17,0 тыс.) до пикового четверга (22,2 тыс.), затем снижалась к пятнице (19,4 тыс.) и выходным. Судить о переломе нисходящего тренда рано, но рост всех метрик требует наблюдения.</w:t>
      </w:r>
    </w:p>
    <w:p>
      <w:pPr>
        <w:pStyle w:val="ListParagraph"/>
        <w:numPr>
          <w:ilvl w:val="0"/>
          <w:numId w:val="1"/>
        </w:numPr>
        <w:spacing w:before="0" w:after="180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Новый лидер рейтинга — Тамбовская область (169,9, +293%): эпицентр сместился в Центральную Россию и на Дальний Восток. </w:t>
      </w:r>
      <w:r>
        <w:rPr>
          <w:rFonts w:eastAsia="Times New Roman" w:cs="Times New Roman"/>
          <w:sz w:val="28"/>
          <w:szCs w:val="28"/>
        </w:rPr>
        <w:t>Саха (Якутия) поднялась на второе место (132,9, +178%), Архангельская область (92,1, +25%) и Карелия (85,7, +48%) закрепились в топ-5. Лидеры предыдущей недели обвалились: Мурманская область потеряла 63% индекса (со 184,3 до 68,2), Оренбургская — 60% (со 108,3 до 43,6). Севастополь удержал место в топ-3, хотя его индекс снизился на 22% (со 131,5 до 102,8).</w:t>
      </w:r>
    </w:p>
    <w:p>
      <w:pPr>
        <w:pStyle w:val="ListParagraph"/>
        <w:numPr>
          <w:ilvl w:val="0"/>
          <w:numId w:val="1"/>
        </w:numPr>
        <w:spacing w:before="0" w:after="180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Инцидентная повестка вернула масштаб потребительского и военного факторов одновременно. </w:t>
      </w:r>
      <w:r>
        <w:rPr>
          <w:rFonts w:eastAsia="Times New Roman" w:cs="Times New Roman"/>
          <w:sz w:val="28"/>
          <w:szCs w:val="28"/>
        </w:rPr>
        <w:t>Лидирует сюжет об огромных очередях на заправках в Москве и регионах (2 329 сообщений); за ним — удар БПЛА по промышленным предприятиям Уфы с возгоранием установки на НПЗ (1 868) и атака на НПЗ «Танеко» в Нижнекамске (987). Отдельно выделяется бензиновый коллапс в Геленджике (1 211) и перебои с поставками автомобильных масел (992).</w:t>
      </w:r>
    </w:p>
    <w:p>
      <w:pPr>
        <w:pStyle w:val="ListParagraph"/>
        <w:numPr>
          <w:ilvl w:val="0"/>
          <w:numId w:val="1"/>
        </w:numPr>
        <w:spacing w:before="0" w:after="180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Губернаторский корпус: тон задают Якутия и Тамбов. </w:t>
      </w:r>
      <w:r>
        <w:rPr>
          <w:rFonts w:eastAsia="Times New Roman" w:cs="Times New Roman"/>
          <w:sz w:val="28"/>
          <w:szCs w:val="28"/>
        </w:rPr>
        <w:t>Самым цитируемым стало заявление первого замминистра по делам гражданской обороны Якутии А. Вензеля об ограничениях продажи топлива на 7 АЗС в Якутске и районах (1 481 сообщение); на втором месте — губернатор Тамбовской области Е. Первышов с формулой «ситуация с бензином остаётся сложная» (943). Оба региона-лидера рейтинга дали и самые цитируемые заявления недели — совпадение официальной риторики и содержания обсуждения, обратное картине предыдущей недели.</w:t>
      </w:r>
    </w:p>
    <w:p>
      <w:pPr>
        <w:pStyle w:val="ListParagraph"/>
        <w:numPr>
          <w:ilvl w:val="0"/>
          <w:numId w:val="1"/>
        </w:numPr>
        <w:spacing w:before="0" w:after="180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Партийная активность выросла кратно. </w:t>
      </w:r>
      <w:r>
        <w:rPr>
          <w:rFonts w:eastAsia="Times New Roman" w:cs="Times New Roman"/>
          <w:sz w:val="28"/>
          <w:szCs w:val="28"/>
        </w:rPr>
        <w:t>Все пять партий показали многократный прирост упоминаний: «Единая Россия» — 2 836 (+164%), КПРФ — 2 378 (+163%), ЛДПР — 1 512 (+399%), СРЗП — 1 131 (+373%); «Новые Люди» — единственная партия со снижением (74, −12%). Несмотря на съезд с заявлениями Путина и Новака, качественный расклад у «Единой России» остаётся смешанным: около 40% сообщений позитивны, но 60% по-прежнему содержат критику. Соотношение КПРФ к «Единой России» осталось на высоком уровне (83,9% против 84,3% неделей ранее).</w:t>
      </w:r>
    </w:p>
    <w:p>
      <w:pPr>
        <w:pStyle w:val="ListParagraph"/>
        <w:numPr>
          <w:ilvl w:val="0"/>
          <w:numId w:val="1"/>
        </w:numPr>
        <w:spacing w:before="0" w:after="180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КПРФ укрепляет образ конструктивной оппозиции. </w:t>
      </w:r>
      <w:r>
        <w:rPr>
          <w:rFonts w:eastAsia="Times New Roman" w:cs="Times New Roman"/>
          <w:sz w:val="28"/>
          <w:szCs w:val="28"/>
        </w:rPr>
        <w:t xml:space="preserve">Пикеты в Энгельсе, публикация «Программы Победы», выступления Зюганова и Останиной, комментарии Локтя о кризисе в Новосибирске формируют устойчивый образ «реальной борьбы». </w:t>
      </w:r>
    </w:p>
    <w:p>
      <w:pPr>
        <w:pStyle w:val="Normal"/>
        <w:spacing w:before="300" w:after="200"/>
        <w:jc w:val="left"/>
        <w:rPr/>
      </w:pPr>
      <w:r>
        <w:rPr>
          <w:rFonts w:eastAsia="Times New Roman" w:cs="Times New Roman"/>
          <w:b/>
          <w:bCs/>
          <w:sz w:val="30"/>
          <w:szCs w:val="30"/>
        </w:rPr>
        <w:t>1. Рейтинг интенсивности проявлений в соцмедиа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Неделя 17–23 августа зафиксировала первый недельный прирост показателей за последний месяц наблюдений: после четырёх недель непрерывного спада (174,3 → 139,1 → 121,6 → 112,6 тыс. сообщений) объём обсуждения вырос до 126,6 тыс. (+12,4%). Ещё заметнее вырос потенциальный охват — на 36,8% (с 804 млн до 1,1 млрд), тогда как авторы прибавили 11,5% (с 52 до 58 тыс.), а просмотры — 26,9% (со 136,6 до 173,3 млн). Опережающий рост охвата и просмотров относительно числа авторов говорит о том, что тема вернулась в более широкие информационные каналы, а не только удерживается прежним ядром участников.</w:t>
      </w:r>
    </w:p>
    <w:tbl>
      <w:tblPr>
        <w:tblW w:w="9298" w:type="dxa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2970"/>
        <w:gridCol w:w="2384"/>
        <w:gridCol w:w="2096"/>
        <w:gridCol w:w="1848"/>
      </w:tblGrid>
      <w:tr>
        <w:trPr>
          <w:tblHeader w:val="true"/>
        </w:trPr>
        <w:tc>
          <w:tcPr>
            <w:tcW w:w="2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10–16 августа</w:t>
            </w:r>
          </w:p>
        </w:tc>
        <w:tc>
          <w:tcPr>
            <w:tcW w:w="20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17–23 августа</w:t>
            </w:r>
          </w:p>
        </w:tc>
        <w:tc>
          <w:tcPr>
            <w:tcW w:w="18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Δ за неделю</w:t>
            </w:r>
          </w:p>
        </w:tc>
      </w:tr>
      <w:tr>
        <w:trPr/>
        <w:tc>
          <w:tcPr>
            <w:tcW w:w="2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Сообщения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112,6 тыс.</w:t>
            </w:r>
          </w:p>
        </w:tc>
        <w:tc>
          <w:tcPr>
            <w:tcW w:w="20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126,6 тыс.</w:t>
            </w:r>
          </w:p>
        </w:tc>
        <w:tc>
          <w:tcPr>
            <w:tcW w:w="18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+12,4%</w:t>
            </w:r>
          </w:p>
        </w:tc>
      </w:tr>
      <w:tr>
        <w:trPr/>
        <w:tc>
          <w:tcPr>
            <w:tcW w:w="2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Авторы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52 тыс.</w:t>
            </w:r>
          </w:p>
        </w:tc>
        <w:tc>
          <w:tcPr>
            <w:tcW w:w="20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58 тыс.</w:t>
            </w:r>
          </w:p>
        </w:tc>
        <w:tc>
          <w:tcPr>
            <w:tcW w:w="18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+11,5%</w:t>
            </w:r>
          </w:p>
        </w:tc>
      </w:tr>
      <w:tr>
        <w:trPr/>
        <w:tc>
          <w:tcPr>
            <w:tcW w:w="2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Потенциальный охват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804 млн</w:t>
            </w:r>
          </w:p>
        </w:tc>
        <w:tc>
          <w:tcPr>
            <w:tcW w:w="20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1,1 млрд</w:t>
            </w:r>
          </w:p>
        </w:tc>
        <w:tc>
          <w:tcPr>
            <w:tcW w:w="18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+36,8%</w:t>
            </w:r>
          </w:p>
        </w:tc>
      </w:tr>
      <w:tr>
        <w:trPr/>
        <w:tc>
          <w:tcPr>
            <w:tcW w:w="2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Просмотры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136,6 млн</w:t>
            </w:r>
          </w:p>
        </w:tc>
        <w:tc>
          <w:tcPr>
            <w:tcW w:w="20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173,3 млн</w:t>
            </w:r>
          </w:p>
        </w:tc>
        <w:tc>
          <w:tcPr>
            <w:tcW w:w="184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+26,9%</w:t>
            </w:r>
          </w:p>
        </w:tc>
      </w:tr>
    </w:tbl>
    <w:p>
      <w:pPr>
        <w:pStyle w:val="Normal"/>
        <w:spacing w:before="0" w:after="240"/>
        <w:jc w:val="center"/>
        <w:rPr/>
      </w:pPr>
      <w:r>
        <w:rPr>
          <w:rFonts w:eastAsia="Times New Roman" w:cs="Times New Roman"/>
          <w:i/>
          <w:iCs/>
          <w:sz w:val="22"/>
          <w:szCs w:val="22"/>
        </w:rPr>
        <w:t>Данные: система мониторинга Крибрум, социальные сети.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Внутринедельная динамика вернулась к профилю «рост к середине недели»: активность увеличивалась три дня подряд — с понедельничных 17,0 тыс. до пикового значения четверга (22,2 тыс.), после чего последовал спад к пятнице (19,4 тыс.) и далее к выходным. Это указывает на то, что основные информационные поводы недели — атаки на объекты нефтепереработки и всплеск обсуждения ограничений в Якутии и Тамбовской области — пришлись на её середину, тогда как к выходным интенсивность обсуждения традиционно снижается вне зависимости от общего тренда.</w:t>
      </w:r>
    </w:p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5852160" cy="221297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>
          <w:rFonts w:eastAsia="Times New Roman" w:cs="Times New Roman"/>
          <w:i/>
          <w:iCs/>
          <w:sz w:val="22"/>
          <w:szCs w:val="22"/>
        </w:rPr>
        <w:t>График 1. Суточная динамика сообщений за 17–23 августа 2026 года (тыс. сообщений в сутки). Закрашенными маркерами отмечены значения, приведённые в справке системы «Крибрум» (понедельник, четверг, пятница); полыми — расчётные оценки за вторник, среду, субботу и воскресенье, восстановленные по недельному итогу (126,6 тыс.) и описанному в справке профилю. Как точные суточные значения последние использовать не следует.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В настоящее время рано говорить о переломе многонедельного нисходящего тренда — рост может быть связан с разовыми триггерами (атаки БПЛА на НПЗ в Уфе и Нижнекамске, введение ограничений в Якутии). Однако одновременный рост всех четырёх метрик, включая охват и просмотры, отличает эту неделю от локальных всплесков предыдущих недель и требует дальнейшего наблюдения в следующем выпуске.</w:t>
      </w:r>
    </w:p>
    <w:p>
      <w:pPr>
        <w:pStyle w:val="Normal"/>
        <w:spacing w:before="300" w:after="200"/>
        <w:jc w:val="left"/>
        <w:rPr/>
      </w:pPr>
      <w:r>
        <w:rPr>
          <w:rFonts w:eastAsia="Times New Roman" w:cs="Times New Roman"/>
          <w:b/>
          <w:bCs/>
          <w:sz w:val="30"/>
          <w:szCs w:val="30"/>
        </w:rPr>
        <w:t>2. География очагов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>Смена лидера</w:t>
      </w:r>
      <w:r>
        <w:rPr>
          <w:rFonts w:eastAsia="Times New Roman" w:cs="Times New Roman"/>
          <w:sz w:val="28"/>
          <w:szCs w:val="28"/>
        </w:rPr>
        <w:t xml:space="preserve"> — Тамбовская область (169,9). Регион вырос почти в четыре раза (43,2 → 169,9, +293%) при 1 514 упоминаниях и впервые возглавил рейтинг. Тамбовская область поднялась с 15-го места на 1-е — резче любой предыдущей смены лидера за период наблюдений. Основной драйвер — заявления губернатора Е. Первышова и регионального Минпромторга о сохраняющемся дефиците и призыв</w:t>
      </w:r>
      <w:r>
        <w:rPr>
          <w:rFonts w:eastAsia="Times New Roman" w:cs="Times New Roman"/>
          <w:sz w:val="28"/>
          <w:szCs w:val="28"/>
        </w:rPr>
        <w:t>ы</w:t>
      </w:r>
      <w:r>
        <w:rPr>
          <w:rFonts w:eastAsia="Times New Roman" w:cs="Times New Roman"/>
          <w:sz w:val="28"/>
          <w:szCs w:val="28"/>
        </w:rPr>
        <w:t xml:space="preserve"> не создавать запасы топлива.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Второе место — Саха (Якутия) (132,9, +178%). Индекс вырос почти втрое (47,8 → 132,9) на фоне введения администрацией региона официальных ограничений продажи топлива на 7 АЗС в Якутске и районах — заявление первого замминистра по делам гражданской обороны А. Вензеля стало самым цитируемым за неделю (1 481 сообщение). В отличие от Тамбова, якутский всплеск связан не с общим ухудшением ситуации, а с конкретным административным решением, получившим широкий резонанс.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>Обвал прежних лидеров</w:t>
      </w:r>
      <w:r>
        <w:rPr>
          <w:rFonts w:eastAsia="Times New Roman" w:cs="Times New Roman"/>
          <w:sz w:val="28"/>
          <w:szCs w:val="28"/>
        </w:rPr>
        <w:t>. Мурманская область, возглавлявшая рейтинг неделей ранее, потеряла почти две трети индекса (184,3 → 68,2, −63%) и опустилась на 6-е место — типичный для этой темы эффект быстрого затухания всплеска, привязанного к единичному инциденту (партия индийского бензина). Оренбургская область также потеряла 60% (108,3 → 43,6). Севастополь, напротив, сохранил место в топ-3, хотя его индекс снизился на 22% (131,5 → 102,8) — второй случай за два выпуска подряд, когда регион удерживает позицию в верхней части рейтинга дольше одной недели.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>Объём против интенсивности</w:t>
      </w:r>
      <w:r>
        <w:rPr>
          <w:rFonts w:eastAsia="Times New Roman" w:cs="Times New Roman"/>
          <w:sz w:val="28"/>
          <w:szCs w:val="28"/>
        </w:rPr>
        <w:t>. По абсолютному числу упоминаний лидируют Москва (2 985) и Краснодарский край (2 456), однако их индексы остаются низкими (24,7 и 45,8 соответственно) — крупные агломерации формируют основной объём обсуждения, но не входят в число наиболее интенсивных очагов. При этом количество упоминаний по теме в Москве снизилось на 11,5%, а в Краснодарском крае незначительно выросло (+3,4%).</w:t>
      </w:r>
    </w:p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5577840" cy="307213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>
          <w:rFonts w:eastAsia="Times New Roman" w:cs="Times New Roman"/>
          <w:i/>
          <w:iCs/>
          <w:sz w:val="22"/>
          <w:szCs w:val="22"/>
        </w:rPr>
        <w:t>График 2. Топ-10 регионов по Индексу активности за 17–23 августа 2026 года.</w:t>
      </w:r>
    </w:p>
    <w:p>
      <w:pPr>
        <w:pStyle w:val="Normal"/>
        <w:spacing w:before="300" w:after="200"/>
        <w:jc w:val="left"/>
        <w:rPr/>
      </w:pPr>
      <w:r>
        <w:rPr>
          <w:rFonts w:eastAsia="Times New Roman" w:cs="Times New Roman"/>
          <w:b/>
          <w:bCs/>
          <w:sz w:val="30"/>
          <w:szCs w:val="30"/>
        </w:rPr>
        <w:t>2.1. Полный рейтинг регионов (все 89 субъектов РФ)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>Ниже приведён полный рейтинг субъектов РФ по Индексу активности за неделю 17–23 августа 2026 года: число упоминаний, индекс и его динамика к неделе 10–16 августа. Ненецкий АО приведён вне рейтинга: по методике «Крибрум» регион исключается из выборки, если одновременно входит в нижние 15% по числу сообщений и в верхние 15% по Индексу активности.</w:t>
      </w:r>
    </w:p>
    <w:tbl>
      <w:tblPr>
        <w:tblW w:w="9600" w:type="dxa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699"/>
        <w:gridCol w:w="3600"/>
        <w:gridCol w:w="1900"/>
        <w:gridCol w:w="1501"/>
        <w:gridCol w:w="1900"/>
      </w:tblGrid>
      <w:tr>
        <w:trPr>
          <w:tblHeader w:val="true"/>
        </w:trPr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Регион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Упоминаний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Индекс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Δ индекса за неделю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Тамбовская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1 514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169,9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+293,3%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Саха (Якутия)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1 222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132,9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+178,0%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Севастополь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529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102,8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21,8%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Архангельская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854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92,1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+24,6%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Карелия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417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85,7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+48,5%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Мурманская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414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68,2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63,0%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Калужская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665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67,4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43,7%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Нижегородская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1 612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56,7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+15,7%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Пермский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1 237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53,5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+20,8%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Крым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933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52,8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Краснодарский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2 456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45,8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+3,6%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Оренбургская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740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43,6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59,7%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Самарская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1 261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43,5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+60,5%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ДНР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782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40,0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12,1%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Вологодская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408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39,2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+64,0%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Алтай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76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39,1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54,5%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Камчатский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38,3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+70,2%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Кировская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387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36,9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+58,4%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19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Воронежская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756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35,9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+5,9%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20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Липецкая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369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35,5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35,2%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Запорожская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276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35,4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+31,6%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Астраханская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303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34,6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+100,0%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Чукотский АО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15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34,0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+87,8%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Свердловская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1 310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33,5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+55,8%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Херсонская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304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33,0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+11,9%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Коми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218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32,5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Костромская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168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31,9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+67,9%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Иркутская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684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31,6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+59,6%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29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Белгородская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438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31,4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+74,4%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30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Хакасия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153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31,3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11,1%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Санкт-Петербург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1 609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31,2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+30,0%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Тульская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419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30,7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+68,7%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Сахалинская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127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29,9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14,3%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Тверская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329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29,5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+72,5%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Рязанская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288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28,7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5,6%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Бурятия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254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28,3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+262,8%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Удмуртия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367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27,6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19,8%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Магаданская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27,5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39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Башкортостан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1 017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27,1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17,1%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40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Владимирская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328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26,8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+63,4%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Новгородская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139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26,2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+36,5%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Пензенская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298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25,9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33,4%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Челябинская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789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25,1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+40,2%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Курская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244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24,8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+31,2%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Москва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2 985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24,7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11,5%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24,0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+45,5%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Курганская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168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23,9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+218,7%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Ростовская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908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23,6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+36,4%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49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Татарстан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867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23,5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+10,3%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50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Ивановская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193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+80,3%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Кемеровская область — Кузбасс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541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+61,7%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ЛНР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285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22,1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2,2%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Ярославская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243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22,1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Красноярский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539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20,5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Орловская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131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20,3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47,5%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Мордовия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144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20,2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+62,9%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ХМАО-Югра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322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20,2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+28,7%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Смоленская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152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18,9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54,1%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59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Ленинградская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350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18,8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+77,4%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60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Брянская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198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18,6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18,4%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Волгоградская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403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17,7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+28,3%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Саратовская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385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17,4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+27,9%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Псковская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17,3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14,8%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Новосибирская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441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17,1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Марий Эл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105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16,9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+43,2%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Московская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1 290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16,3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+41,7%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Забайкальский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142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15,5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+8,4%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Алтайский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294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15,0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+13,6%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69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Ульяновская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150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13,8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+29,0%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70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Ставропольский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365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13,7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+3,8%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Чувашская Республика — Чувашия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146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13,5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+14,4%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Омская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210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12,4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+18,1%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Томская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118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12,2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3,9%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Хабаровский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140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11,8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24,4%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Тюменская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406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11,4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0,9%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Тыва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33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+17,8%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Калмыкия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25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10,3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+0,0%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Адыгея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9,1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+106,8%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79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Северная Осетия — Алания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8,3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+23,9%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80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Приморский край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126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+25,0%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Амурская область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+13,6%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Ингушетия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+9,5%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Еврейская АО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4,4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74,0%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Карачаево-Черкесия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+39,3%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Дагестан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2,9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+52,6%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86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Кабардино-Балкария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2,6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+18,2%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87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ЯНАО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95,5%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88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Чечня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20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1,4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+0,0%</w:t>
            </w:r>
          </w:p>
        </w:tc>
      </w:tr>
      <w:tr>
        <w:trPr/>
        <w:tc>
          <w:tcPr>
            <w:tcW w:w="6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—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Ненецкий АО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33</w:t>
            </w:r>
          </w:p>
        </w:tc>
        <w:tc>
          <w:tcPr>
            <w:tcW w:w="15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86,5</w:t>
            </w:r>
          </w:p>
        </w:tc>
        <w:tc>
          <w:tcPr>
            <w:tcW w:w="1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+17,8%</w:t>
            </w:r>
          </w:p>
        </w:tc>
      </w:tr>
    </w:tbl>
    <w:p>
      <w:pPr>
        <w:pStyle w:val="Normal"/>
        <w:spacing w:before="0" w:after="240"/>
        <w:jc w:val="center"/>
        <w:rPr/>
      </w:pPr>
      <w:r>
        <w:rPr>
          <w:rFonts w:eastAsia="Times New Roman" w:cs="Times New Roman"/>
          <w:i/>
          <w:iCs/>
          <w:sz w:val="22"/>
          <w:szCs w:val="22"/>
        </w:rPr>
        <w:t>Индекс — нормированная активность по теме на 100 тыс. населения региона. Δ — изменение индекса к неделе 10–16 августа 2026 года. Данные: система мониторинга Крибрум.</w:t>
      </w:r>
    </w:p>
    <w:p>
      <w:pPr>
        <w:pStyle w:val="Normal"/>
        <w:spacing w:before="300" w:after="200"/>
        <w:jc w:val="left"/>
        <w:rPr/>
      </w:pPr>
      <w:r>
        <w:rPr>
          <w:rFonts w:eastAsia="Times New Roman" w:cs="Times New Roman"/>
          <w:b/>
          <w:bCs/>
          <w:sz w:val="30"/>
          <w:szCs w:val="30"/>
        </w:rPr>
        <w:t>3. Реакция местных властей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Риторика губернаторского корпуса на неделе 17–23 августа концентрируется вокруг двух регионов-лидеров рейтинга — Якутии и Тамбовской области, — что качественно отличает неделю от предыдущей, когда наиболее цитируемое заявление и лидер рейтинга не совпадали. Первое место по цитируемости заняло сообщение об официальных ограничениях продажи топлива на 7 АЗС Якутска и районов (1 481 сообщение) — редкий случай, когда самым резонансным становится не риторическое заявление, а объявление о конкретной административной мере.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>Линия признания проблемы сохраняется, но соседствует с успокаивающими заявлениями</w:t>
      </w:r>
      <w:r>
        <w:rPr>
          <w:rFonts w:eastAsia="Times New Roman" w:cs="Times New Roman"/>
          <w:sz w:val="28"/>
          <w:szCs w:val="28"/>
        </w:rPr>
        <w:t>. Губернатор Тамбовской области Е. Первышов признал сохраняющуюся сложность ситуации (943 сообщения), а региональный Минпромторг отдельно призвал жителей не создавать запасы топлива (479) — сочетание, указывающее на реальную обеспокоенность региональных властей ажиотажным спросом. Одновременно ряд регионов (Бурятия, Иркутская область, Хабаровский край) продолжают риторику стабилизации: «не переживайте, бензовозы уже на подходе», «ситуацию удалось стабилизировать».</w:t>
      </w:r>
    </w:p>
    <w:tbl>
      <w:tblPr>
        <w:tblW w:w="9546" w:type="dxa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600"/>
        <w:gridCol w:w="3110"/>
        <w:gridCol w:w="3964"/>
        <w:gridCol w:w="1872"/>
      </w:tblGrid>
      <w:tr>
        <w:trPr>
          <w:tblHeader w:val="true"/>
        </w:trPr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Представитель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Тема / цитата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Сообщений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Первый заместитель министра по делам гражданской обороны Якутии А. Вензель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«На 7 АЗС в Якутске и районах действуют ограничения на продажу топлива»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1 481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Губернатор Тамбовской области Е. Первышов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«Ситуация с бензином остаётся сложная»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943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Правительство Воронежской области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«Ситуация остаётся сложной, но новых ограничений вводить не планируется»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482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Минпромторг Тамбовской области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Призвал жителей отказаться от создания запасов топлива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479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Заместитель Председателя Правительства Бурятии Е. Коркин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«Не переживайте, бензовозы уже на подходе»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305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Мэр г. Новороссийск А. Кравченко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«Ситуация с топливом на АЗС Новороссийска напряжённая»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296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Губернатор Иркутской области И. Кобзев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«Ситуацию удалось стабилизировать»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281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Губернатор г. Севастополь М. Развожаев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«Важная информация по заправке топливом»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192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Губернатор Алтайского края В. Томенко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«Обсудили ситуацию с топливом и меры, которые принимаются для обеспечения региона необходимыми ресурсами»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164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31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Губернатор Хабаровского края Д. Демешин</w:t>
            </w:r>
          </w:p>
        </w:tc>
        <w:tc>
          <w:tcPr>
            <w:tcW w:w="396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«Стабилизировали ситуацию с топливом в регионе»</w:t>
            </w:r>
          </w:p>
        </w:tc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86</w:t>
            </w:r>
          </w:p>
        </w:tc>
      </w:tr>
    </w:tbl>
    <w:p>
      <w:pPr>
        <w:pStyle w:val="Normal"/>
        <w:spacing w:before="0" w:after="240"/>
        <w:jc w:val="center"/>
        <w:rPr/>
      </w:pPr>
      <w:r>
        <w:rPr>
          <w:rFonts w:eastAsia="Times New Roman" w:cs="Times New Roman"/>
          <w:i/>
          <w:iCs/>
          <w:sz w:val="22"/>
          <w:szCs w:val="22"/>
        </w:rPr>
        <w:t>Топ-10 цитируемых представителей региональных властей по числу сообщений. Данные: система мониторинга Крибрум.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b/>
          <w:bCs/>
          <w:sz w:val="28"/>
          <w:szCs w:val="28"/>
          <w:u w:val="single"/>
        </w:rPr>
        <w:t xml:space="preserve">Вывод: </w:t>
      </w:r>
      <w:r>
        <w:rPr>
          <w:rFonts w:eastAsia="Times New Roman" w:cs="Times New Roman"/>
          <w:sz w:val="28"/>
          <w:szCs w:val="28"/>
        </w:rPr>
        <w:t>на неделе 17–23 августа официальная риторика в целом совпала с географией наиболее обсуждаемых очагов — Якутия и Тамбовская область одновременно возглавили и рейтинг регионов, и рейтинг цитируемости. Это отличает неделю от предыдущей, когда разрыв между заверениями властей и реальной картиной сам становился фактором роста напряжённости.</w:t>
      </w:r>
    </w:p>
    <w:p>
      <w:pPr>
        <w:pStyle w:val="Normal"/>
        <w:spacing w:before="300" w:after="200"/>
        <w:jc w:val="left"/>
        <w:rPr/>
      </w:pPr>
      <w:r>
        <w:rPr>
          <w:rFonts w:eastAsia="Times New Roman" w:cs="Times New Roman"/>
          <w:b/>
          <w:bCs/>
          <w:sz w:val="30"/>
          <w:szCs w:val="30"/>
        </w:rPr>
        <w:t>3.1. Топ-10 инцидентов недели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>Инцидентная повестка недели сочетает потребительский и военный факторы почти в равной мере.</w:t>
      </w:r>
      <w:r>
        <w:rPr>
          <w:rFonts w:eastAsia="Times New Roman" w:cs="Times New Roman"/>
          <w:sz w:val="28"/>
          <w:szCs w:val="28"/>
        </w:rPr>
        <w:t xml:space="preserve"> Лидирует бытовой сюжет — огромные очереди на заправках в Москве и регионах (2 329 сообщений), за ним следуют два удара БПЛА по объектам нефтепереработки: возгорание установки на НПЗ в Уфе (1 868) и атака на НПЗ «Танеко» в Нижнекамске (987). Отдельно выделяется бензиновый коллапс в Геленджике (1 211) и перебои с поставками автомобильных масел (992) — сюжет, ранее не фигурировавший в топе инцидентов.</w:t>
      </w:r>
    </w:p>
    <w:tbl>
      <w:tblPr>
        <w:tblW w:w="9353" w:type="dxa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600"/>
        <w:gridCol w:w="6700"/>
        <w:gridCol w:w="2053"/>
      </w:tblGrid>
      <w:tr>
        <w:trPr>
          <w:tblHeader w:val="true"/>
        </w:trPr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Инцидент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Сообщений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В Москве и регионах фиксируют огромные очереди на заправках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2 329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БПЛА атаковали промышленные предприятия Уфы, в результате загорелась установка на НПЗ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1 868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Геленджик остался без бензина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1 211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 поставками автомобильных масел возникли перебои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992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БПЛА атаковали Нижнекамск, под удар попал НПЗ «Танеко»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987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Тамбовчан приглашают принять участие в опросе о новых правилах продажи топлива на АЗС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499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Новокуйбышевский НПЗ горит в Самарской области после атаки БПЛА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405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В России начали наказывать тех, кто возмущается дефициту бензина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362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Россияне придумали новый способ бороться с дефицитом бензина — отправлять машину заправляться в Минск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221</w:t>
            </w:r>
          </w:p>
        </w:tc>
      </w:tr>
      <w:tr>
        <w:trPr/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6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Священник в подмосковном Фрязине запретил верующим протестовать из-за перебоев с топливом</w:t>
            </w:r>
          </w:p>
        </w:tc>
        <w:tc>
          <w:tcPr>
            <w:tcW w:w="20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214</w:t>
            </w:r>
          </w:p>
        </w:tc>
      </w:tr>
    </w:tbl>
    <w:p>
      <w:pPr>
        <w:pStyle w:val="Normal"/>
        <w:spacing w:before="0" w:after="240"/>
        <w:jc w:val="center"/>
        <w:rPr/>
      </w:pPr>
      <w:r>
        <w:rPr>
          <w:rFonts w:eastAsia="Times New Roman" w:cs="Times New Roman"/>
          <w:i/>
          <w:iCs/>
          <w:sz w:val="22"/>
          <w:szCs w:val="22"/>
        </w:rPr>
        <w:t>По числу сообщений. Данные: система мониторинга Крибрум.</w:t>
      </w:r>
    </w:p>
    <w:p>
      <w:pPr>
        <w:pStyle w:val="Normal"/>
        <w:spacing w:before="300" w:after="200"/>
        <w:jc w:val="left"/>
        <w:rPr/>
      </w:pPr>
      <w:r>
        <w:rPr>
          <w:rFonts w:eastAsia="Times New Roman" w:cs="Times New Roman"/>
          <w:b/>
          <w:bCs/>
          <w:sz w:val="30"/>
          <w:szCs w:val="30"/>
        </w:rPr>
        <w:t>4. Реакция парламентских партий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Партийная активность выросла кратно у всех партий, за исключением «Новых Людей». Суммарный объём партийных упоминаний по теме увеличился с 2 605 до 7 931 (+204,5%) — почти вдвое быстрее роста темы в целом (+12,4%): резкий скачок связан прежде всего со съездом «Единой России» 22 августа, на котором прозвучали заявления Путина и Новака, и получил отражение во всём партийном сегменте, а не только у правящей партии.</w:t>
      </w:r>
    </w:p>
    <w:tbl>
      <w:tblPr>
        <w:tblW w:w="9200" w:type="dxa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3199"/>
        <w:gridCol w:w="2000"/>
        <w:gridCol w:w="2000"/>
        <w:gridCol w:w="2000"/>
      </w:tblGrid>
      <w:tr>
        <w:trPr>
          <w:tblHeader w:val="true"/>
        </w:trPr>
        <w:tc>
          <w:tcPr>
            <w:tcW w:w="31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Упоминаний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Неделей ранее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D9E2F3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Δ за неделю</w:t>
            </w:r>
          </w:p>
        </w:tc>
      </w:tr>
      <w:tr>
        <w:trPr/>
        <w:tc>
          <w:tcPr>
            <w:tcW w:w="31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«Единая Россия»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2 836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1 074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+164,1%</w:t>
            </w:r>
          </w:p>
        </w:tc>
      </w:tr>
      <w:tr>
        <w:trPr/>
        <w:tc>
          <w:tcPr>
            <w:tcW w:w="31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КПРФ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2 378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905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+162,8%</w:t>
            </w:r>
          </w:p>
        </w:tc>
      </w:tr>
      <w:tr>
        <w:trPr/>
        <w:tc>
          <w:tcPr>
            <w:tcW w:w="31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ЛДПР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1 512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303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+399,0%</w:t>
            </w:r>
          </w:p>
        </w:tc>
      </w:tr>
      <w:tr>
        <w:trPr/>
        <w:tc>
          <w:tcPr>
            <w:tcW w:w="31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«Справедливая Россия — За правду»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1 131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239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+373,2%</w:t>
            </w:r>
          </w:p>
        </w:tc>
      </w:tr>
      <w:tr>
        <w:trPr/>
        <w:tc>
          <w:tcPr>
            <w:tcW w:w="31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«Новые Люди»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84</w:t>
            </w:r>
          </w:p>
        </w:tc>
        <w:tc>
          <w:tcPr>
            <w:tcW w:w="2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11,9%</w:t>
            </w:r>
          </w:p>
        </w:tc>
      </w:tr>
    </w:tbl>
    <w:p>
      <w:pPr>
        <w:pStyle w:val="Normal"/>
        <w:spacing w:before="0" w:after="240"/>
        <w:jc w:val="center"/>
        <w:rPr/>
      </w:pPr>
      <w:r>
        <w:rPr>
          <w:rFonts w:eastAsia="Times New Roman" w:cs="Times New Roman"/>
          <w:i/>
          <w:iCs/>
          <w:sz w:val="22"/>
          <w:szCs w:val="22"/>
        </w:rPr>
        <w:t>По числу сообщений. Данные: система мониторинга Крибрум.</w:t>
      </w:r>
    </w:p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5577840" cy="256921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>
          <w:rFonts w:eastAsia="Times New Roman" w:cs="Times New Roman"/>
          <w:i/>
          <w:iCs/>
          <w:sz w:val="22"/>
          <w:szCs w:val="22"/>
        </w:rPr>
        <w:t>График 3. Упоминания парламентских партий в контексте топливного кризиса: 10–16 и 17–23 августа 2026 года.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«Единая Россия» — сохранила лидерство при неоднозначной структуре упоминаний. 2 836 упоминаний (+164,1%). Основной драйвер — съезд партии 22 августа: примерно 40% сообщений транслируют позитивные обещания (ремонт НПЗ, рост поставок, повышение МРОТ), но 60% по-прежнему негативны — обвинения в создании искусственного дефицита перед выборами, популизме и неспособности защитить НПЗ.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 xml:space="preserve">КПРФ — сопоставимый рост при сохранении конструктивного образа. 2 378 упоминаний (+162,8%) — практически тот же темп прироста, что и у «Единой России», благодаря чему соотношение партий осталось на уровне 83,9% (против 84,3% неделей ранее). Активность коммунистов — пикеты в Энгельсе, публикация «Программы Победы», выступления Зюганова и Останиной, комментарии Локтя о кризисе в Новосибирске — создаёт устойчивый образ «реальной борьбы». 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ЛДПР — самый резкий прирост среди всех партий. 1 512 упоминаний (+399,0%). Партия активно использует региональные встречи (аграрии Иркутской области, форумы для молодёжи), что расширяет её медийное присутствие за пределами топливной темы. Тем не менее содержательных предложений по выходу из кризиса по-прежнему мало, что ограничивает политическое влияние роста упоминаемости.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СРЗП — рост объясняется двумя факторами. 1 131 упоминание (+373,2%): активное участие вице-спикера А. Бабакова в пропагандистских программах на федеральных каналах (тема «системного ответа Западу»), а также инициативы лидера С. Миронова по централизованному распределению топлива и жёсткие заявления об ударах по британским заводам дронов.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  <w:t>«Новые Люди» — единственная партия со снижением упоминаемости. 74 упоминания (−11,9%). Упоминания партии носят преимущественно ситуативный, «новостной» или межпартийный характер, а собственная содержательная повестка по теме топливного кризиса практически отсутствует.</w:t>
      </w:r>
    </w:p>
    <w:p>
      <w:pPr>
        <w:pStyle w:val="Normal"/>
        <w:spacing w:before="300" w:after="200"/>
        <w:rPr/>
      </w:pPr>
      <w:r>
        <w:rPr>
          <w:rFonts w:eastAsia="Times New Roman" w:cs="Times New Roman"/>
          <w:b/>
          <w:bCs/>
          <w:sz w:val="30"/>
          <w:szCs w:val="30"/>
          <w:u w:val="single"/>
        </w:rPr>
        <w:t>Общие выводы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 xml:space="preserve">Неделя 17–23 августа впервые за месяц показала одновременный рост всех ключевых метрик обсуждения топливного кризиса: </w:t>
      </w:r>
      <w:r>
        <w:rPr>
          <w:rFonts w:eastAsia="Times New Roman" w:cs="Times New Roman"/>
          <w:sz w:val="28"/>
          <w:szCs w:val="28"/>
        </w:rPr>
        <w:t xml:space="preserve">сообщения — на 12,4%, авторы — на 11,5%, а охват и просмотры выросли ещё заметнее (+36,8% и +26,9% соответственно). Внутринедельная динамика с ростом к четвергу и спадом к выходным указывает на то, что подъём связан с конкретными триггерами середины недели, а не с равномерным расширением интереса к теме. </w:t>
      </w:r>
      <w:r>
        <w:rPr>
          <w:rFonts w:eastAsia="Times New Roman" w:cs="Times New Roman"/>
          <w:i/>
          <w:iCs/>
          <w:sz w:val="28"/>
          <w:szCs w:val="28"/>
        </w:rPr>
        <w:t>О</w:t>
      </w:r>
      <w:r>
        <w:rPr>
          <w:rFonts w:eastAsia="Times New Roman" w:cs="Times New Roman"/>
          <w:i/>
          <w:iCs/>
          <w:sz w:val="28"/>
          <w:szCs w:val="28"/>
        </w:rPr>
        <w:t>дновременный рост всех метрик, включая охват и просмотры, — новое явление за период наблюдений.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>География очагов сместилась из Северо-Запада и Черноземья в Центральную Россию и на Дальний Восток:</w:t>
      </w:r>
      <w:r>
        <w:rPr>
          <w:rFonts w:eastAsia="Times New Roman" w:cs="Times New Roman"/>
          <w:sz w:val="28"/>
          <w:szCs w:val="28"/>
        </w:rPr>
        <w:t xml:space="preserve"> Тамбовская область впервые возглавила рейтинг (169,9, +293%), Саха (Якутия) поднялась на второе место (132,9, +178%) на фоне введения официальных ограничений продажи топлива в Якутске. Прежние лидеры — Мурманская и Оренбургская области — потеряли более половины индекса, что подтверждает вывод предыдущих выпусков: региональные всплески, связанные с единичным инцидентом, затухают за одну-две недели. Инцидентная повестка сочетает потребительский фактор (очереди на АЗС, дефицит в Геленджике) и военный (удары БПЛА по НПЗ в Уфе и Нижнекамске) почти в равной пропорции.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>Впервые за несколько недель официальная риторика региональных властей совпала с географией наиболее обсуждаемых очагов:</w:t>
      </w:r>
      <w:r>
        <w:rPr>
          <w:rFonts w:eastAsia="Times New Roman" w:cs="Times New Roman"/>
          <w:sz w:val="28"/>
          <w:szCs w:val="28"/>
        </w:rPr>
        <w:t xml:space="preserve"> Якутия и Тамбовская область одновременно возглавили и рейтинг регионов, и рейтинг цитируемости представителей власти. 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>Партийная активность выросла кратно у всех партий, кроме «Новых Людей»,</w:t>
      </w:r>
      <w:r>
        <w:rPr>
          <w:rFonts w:eastAsia="Times New Roman" w:cs="Times New Roman"/>
          <w:sz w:val="28"/>
          <w:szCs w:val="28"/>
        </w:rPr>
        <w:t xml:space="preserve">  соотношение КПРФ к «Единой России» осталось стабильным (83,9%) — партия сохраняет темп прироста, сопоставимый с правящей, и продолжает укреплять образ конструктивной оппозиции. </w:t>
      </w:r>
    </w:p>
    <w:p>
      <w:pPr>
        <w:pStyle w:val="Normal"/>
        <w:spacing w:before="300" w:after="120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  <w:u w:val="single"/>
        </w:rPr>
        <w:t>Подготовили:</w:t>
      </w:r>
    </w:p>
    <w:p>
      <w:pPr>
        <w:pStyle w:val="Normal"/>
        <w:spacing w:before="0" w:after="160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И.М. Куприянова</w:t>
      </w:r>
      <w:r>
        <w:rPr>
          <w:rFonts w:eastAsia="Times New Roman" w:cs="Times New Roman"/>
          <w:i/>
          <w:iCs/>
          <w:sz w:val="24"/>
          <w:szCs w:val="24"/>
        </w:rPr>
        <w:t>, заведующая Отделом ЦК КПРФ</w:t>
      </w:r>
    </w:p>
    <w:p>
      <w:pPr>
        <w:pStyle w:val="Normal"/>
        <w:spacing w:before="0" w:after="160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А.М. Михальчук</w:t>
      </w:r>
      <w:r>
        <w:rPr>
          <w:rFonts w:eastAsia="Times New Roman" w:cs="Times New Roman"/>
          <w:i/>
          <w:iCs/>
          <w:sz w:val="24"/>
          <w:szCs w:val="24"/>
        </w:rPr>
        <w:t>, зам. зав. Отдела ЦК КПРФ</w:t>
      </w:r>
    </w:p>
    <w:p>
      <w:pPr>
        <w:pStyle w:val="Normal"/>
        <w:spacing w:before="200" w:after="120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  <w:u w:val="single"/>
        </w:rPr>
        <w:t>Ответственный за выпуск:</w:t>
      </w:r>
    </w:p>
    <w:p>
      <w:pPr>
        <w:pStyle w:val="Normal"/>
        <w:spacing w:before="0" w:after="160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С.П. Обухов</w:t>
      </w:r>
      <w:r>
        <w:rPr>
          <w:rFonts w:eastAsia="Times New Roman" w:cs="Times New Roman"/>
          <w:i/>
          <w:iCs/>
          <w:sz w:val="24"/>
          <w:szCs w:val="24"/>
        </w:rPr>
        <w:t xml:space="preserve"> — доктор политических наук, секретарь ЦК КПРФ</w:t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420" w:hanging="2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51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hi-IN"/>
    </w:rPr>
  </w:style>
  <w:style w:type="paragraph" w:styleId="1">
    <w:name w:val="Heading 1"/>
    <w:basedOn w:val="Style13"/>
    <w:qFormat/>
    <w:pPr/>
    <w:rPr>
      <w:color w:val="2E74B5"/>
      <w:sz w:val="32"/>
      <w:szCs w:val="32"/>
    </w:rPr>
  </w:style>
  <w:style w:type="paragraph" w:styleId="2">
    <w:name w:val="Heading 2"/>
    <w:basedOn w:val="Style13"/>
    <w:qFormat/>
    <w:pPr/>
    <w:rPr>
      <w:color w:val="2E74B5"/>
      <w:sz w:val="26"/>
      <w:szCs w:val="26"/>
    </w:rPr>
  </w:style>
  <w:style w:type="paragraph" w:styleId="3">
    <w:name w:val="Heading 3"/>
    <w:basedOn w:val="Style13"/>
    <w:qFormat/>
    <w:pPr/>
    <w:rPr>
      <w:color w:val="1F4D78"/>
      <w:sz w:val="24"/>
      <w:szCs w:val="24"/>
    </w:rPr>
  </w:style>
  <w:style w:type="paragraph" w:styleId="4">
    <w:name w:val="Heading 4"/>
    <w:basedOn w:val="Style13"/>
    <w:qFormat/>
    <w:pPr/>
    <w:rPr>
      <w:i/>
      <w:iCs/>
      <w:color w:val="2E74B5"/>
    </w:rPr>
  </w:style>
  <w:style w:type="paragraph" w:styleId="5">
    <w:name w:val="Heading 5"/>
    <w:basedOn w:val="Style13"/>
    <w:qFormat/>
    <w:pPr/>
    <w:rPr>
      <w:color w:val="2E74B5"/>
    </w:rPr>
  </w:style>
  <w:style w:type="paragraph" w:styleId="6">
    <w:name w:val="Heading 6"/>
    <w:basedOn w:val="Style13"/>
    <w:qFormat/>
    <w:pPr/>
    <w:rPr>
      <w:color w:val="1F4D78"/>
    </w:rPr>
  </w:style>
  <w:style w:type="character" w:styleId="Style8">
    <w:name w:val="Hyperlink"/>
    <w:uiPriority w:val="99"/>
    <w:unhideWhenUsed/>
    <w:rPr>
      <w:color w:val="0563C1"/>
      <w:u w:val="single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Style10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12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Style18">
    <w:name w:val="Title"/>
    <w:basedOn w:val="Style13"/>
    <w:qFormat/>
    <w:pPr/>
    <w:rPr>
      <w:sz w:val="56"/>
      <w:szCs w:val="56"/>
    </w:rPr>
  </w:style>
  <w:style w:type="paragraph" w:styleId="Strong">
    <w:name w:val="Strong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ru-RU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hi-IN"/>
    </w:rPr>
  </w:style>
  <w:style w:type="paragraph" w:styleId="Style19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0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LibreOffice/7.4.7.2$Windows_X86_64 LibreOffice_project/723314e595e8007d3cf785c16538505a1c878ca5</Application>
  <AppVersion>15.0000</AppVersion>
  <Pages>11</Pages>
  <Words>2771</Words>
  <Characters>16465</Characters>
  <CharactersWithSpaces>18679</CharactersWithSpaces>
  <Paragraphs>628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2026-08-25T04:30:01Z</dcterms:created>
  <dc:creator>Un-named</dc:creator>
  <dc:description/>
  <dc:language>ru-RU</dc:language>
  <cp:lastModifiedBy/>
  <dcterms:modified xsi:type="dcterms:W3CDTF">2026-08-25T10:16:25Z</dcterms:modified>
  <cp:revision>2</cp:revision>
  <dc:subject/>
  <dc:title/>
</cp:coreProperties>
</file>