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jc w:val="center"/>
        <w:rPr/>
      </w:pPr>
      <w:r>
        <w:rPr/>
        <w:drawing>
          <wp:inline distT="0" distB="0" distL="0" distR="0">
            <wp:extent cx="6035040" cy="190246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jc w:val="center"/>
        <w:rPr/>
      </w:pPr>
      <w:r>
        <w:rPr/>
      </w:r>
    </w:p>
    <w:p>
      <w:pPr>
        <w:pStyle w:val="Style14"/>
        <w:jc w:val="center"/>
        <w:rPr/>
      </w:pPr>
      <w:r>
        <w:rPr>
          <w:sz w:val="44"/>
          <w:szCs w:val="44"/>
          <w:u w:val="single"/>
        </w:rPr>
        <w:t xml:space="preserve">ОБЗОР КЛЮЧЕВЫХ </w:t>
      </w:r>
      <w:r>
        <w:rPr>
          <w:sz w:val="44"/>
          <w:szCs w:val="44"/>
          <w:u w:val="single"/>
          <w:lang w:val="ru-RU"/>
        </w:rPr>
        <w:t>ИД</w:t>
      </w:r>
      <w:r>
        <w:rPr>
          <w:sz w:val="44"/>
          <w:szCs w:val="44"/>
          <w:u w:val="single"/>
        </w:rPr>
        <w:t>ЕЙ КРУГЛОГО СТОЛА РАСО</w:t>
      </w:r>
      <w:r>
        <w:rPr/>
        <w:br/>
      </w:r>
      <w:r>
        <w:rPr>
          <w:b/>
        </w:rPr>
        <w:t>«Обсуждение результатов экспертного исследования ресурсов и стратегий партий на выборах в Госдуму – 2026»</w:t>
      </w:r>
    </w:p>
    <w:p>
      <w:pPr>
        <w:pStyle w:val="Normal"/>
        <w:jc w:val="center"/>
        <w:rPr/>
      </w:pPr>
      <w:r>
        <w:rPr>
          <w:b/>
        </w:rPr>
        <w:t>Оценка с точки зрения интересов и практических задач КПРФ</w:t>
      </w:r>
    </w:p>
    <w:p>
      <w:pPr>
        <w:pStyle w:val="1"/>
        <w:spacing w:before="160" w:after="80"/>
        <w:rPr/>
      </w:pPr>
      <w:r>
        <w:rPr/>
        <w:t>1. Общая оценка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>
          <w:b/>
          <w:bCs/>
        </w:rPr>
        <w:t>Круглый стол в целом оказался для КПРФ скорее полезным.</w:t>
      </w:r>
      <w:r>
        <w:rPr/>
        <w:t xml:space="preserve"> Даже значительная часть экспертов, не ориентированных на КПРФ, фактически признала ее главным устойчивым оппонентом «Единой России». Самая спорная линия дискуссии — попытка части участников искусственно поставить «Новых людей» в один ряд с КПРФ и даже представить их вторым лидером гонки.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Исследование РАСО фиксирует: «Единая Россия» — 68 баллов ресурсной обеспеченности, КПРФ — 56, «Новые люди» — 55, ЛДПР — 54. По сравнению с 2021 годом оценка КПРФ выросла с 49 до 56 баллов. Эксперты дают КПРФ 30–44 места по федеральному списку и 4–20 одномандатных округов. Таким образом, </w:t>
      </w:r>
      <w:r>
        <w:rPr>
          <w:b/>
          <w:bCs/>
        </w:rPr>
        <w:t>даже внутри исследовательской рамки РАСО КПРФ сохраняет вторую позицию</w:t>
      </w:r>
      <w:r>
        <w:rPr/>
        <w:t>.</w:t>
      </w:r>
    </w:p>
    <w:p>
      <w:pPr>
        <w:pStyle w:val="1"/>
        <w:spacing w:before="160" w:after="80"/>
        <w:rPr/>
      </w:pPr>
      <w:r>
        <w:rPr/>
        <w:t>2. Главный политический вывод для КПРФ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Наиболее сильную рамку </w:t>
      </w:r>
      <w:r>
        <w:rPr>
          <w:lang w:val="ru-RU"/>
        </w:rPr>
        <w:t xml:space="preserve">в дискуссии </w:t>
      </w:r>
      <w:r>
        <w:rPr/>
        <w:t xml:space="preserve">сформулировал Сергей Обухов: </w:t>
      </w:r>
      <w:r>
        <w:rPr>
          <w:b/>
          <w:bCs/>
        </w:rPr>
        <w:t>КПРФ проигрывает в ресурсах, которые можно купить, но выигрывает там, что невозможно купить — устойчивый электорат, идеологию и организационно-территориальную инфраструктуру.</w:t>
      </w:r>
    </w:p>
    <w:p>
      <w:pPr>
        <w:pStyle w:val="Normal"/>
        <w:spacing w:before="0" w:after="100"/>
        <w:ind w:left="567" w:right="397" w:hanging="0"/>
        <w:jc w:val="both"/>
        <w:rPr/>
      </w:pPr>
      <w:r>
        <w:rPr>
          <w:i/>
        </w:rPr>
        <w:t>«У других есть политтехнологический ресурс. У КПРФ есть политическая база».</w:t>
      </w:r>
    </w:p>
    <w:p>
      <w:pPr>
        <w:pStyle w:val="Normal"/>
        <w:spacing w:before="0" w:after="100"/>
        <w:ind w:left="567" w:right="397" w:hanging="0"/>
        <w:rPr/>
      </w:pPr>
      <w:r>
        <w:rPr>
          <w:i/>
        </w:rPr>
        <w:t>«Деньги можно собрать за месяц. Партийную организацию, убеждения и верного избирателя за месяц не купишь».</w:t>
      </w:r>
    </w:p>
    <w:p>
      <w:pPr>
        <w:pStyle w:val="Normal"/>
        <w:spacing w:lineRule="auto" w:line="276" w:before="0" w:after="80"/>
        <w:ind w:firstLine="709"/>
        <w:rPr/>
      </w:pPr>
      <w:r>
        <w:rPr/>
        <w:t>Эта рамка позволяет не обороняться перед рейтингом РАСО, а использовать его как внешнее подтверждение устойчивости КПРФ.</w:t>
      </w:r>
    </w:p>
    <w:p>
      <w:pPr>
        <w:pStyle w:val="1"/>
        <w:spacing w:before="160" w:after="80"/>
        <w:rPr/>
      </w:pPr>
      <w:r>
        <w:rPr/>
        <w:t>3. Что особенно полезно для КПРФ</w:t>
      </w:r>
    </w:p>
    <w:p>
      <w:pPr>
        <w:pStyle w:val="2"/>
        <w:spacing w:before="160" w:after="80"/>
        <w:rPr/>
      </w:pPr>
      <w:r>
        <w:rPr/>
        <w:t>3.1. Сергей Старовойтов: выборы как аппаратная конкуренция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Старовойтов дал одну из самых откровенных характеристик кампании. По его оценке, </w:t>
      </w:r>
      <w:r>
        <w:rPr>
          <w:b/>
          <w:bCs/>
        </w:rPr>
        <w:t>политическая конкуренция превращается из классической политической борьбы во внутрикорпоративную и аппаратную</w:t>
      </w:r>
      <w:r>
        <w:rPr/>
        <w:t>. «Межэлитные договоренности» он фактически расшифровал как бесконечное испрашивание разрешений у начальства.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Для КПРФ это ценное внешнее экспертное признание. Само исследование ставит «элитные договоренности» на первое место среди инструментов кампании — 9 баллов. Следовательно, </w:t>
      </w:r>
      <w:r>
        <w:rPr>
          <w:b/>
          <w:bCs/>
        </w:rPr>
        <w:t>тезис об ограниченности политической конкуренции озвучивается уже не оппозицией, а профессиональным политтехнологическим сообществом.</w:t>
      </w:r>
    </w:p>
    <w:p>
      <w:pPr>
        <w:pStyle w:val="2"/>
        <w:spacing w:before="160" w:after="80"/>
        <w:rPr/>
      </w:pPr>
      <w:r>
        <w:rPr/>
        <w:t>3.2. Владимир Курков: окно возможностей в одномандатных округах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Курков указал, что </w:t>
      </w:r>
      <w:r>
        <w:rPr>
          <w:b/>
          <w:bCs/>
        </w:rPr>
        <w:t>слабая активность многих кандидатов «Единой России» создает окно возможностей для оппозиции</w:t>
      </w:r>
      <w:r>
        <w:rPr/>
        <w:t>: по его оценке, по трети или даже половине округов можно бороться при относительно небольших бюджетах.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Это практически важный сигнал для КПРФ. Разброс прогноза РАСО для партии — от 4 до 20 одномандатников. Разница между нижней и верхней границей составляет до 16 депутатских мандатов. Следовательно, </w:t>
      </w:r>
      <w:r>
        <w:rPr>
          <w:b/>
          <w:bCs/>
        </w:rPr>
        <w:t>одна из ключевых задач — выделить ограниченную группу реально конкурентных округов и концентрировать там ресурсы.</w:t>
      </w:r>
    </w:p>
    <w:p>
      <w:pPr>
        <w:pStyle w:val="2"/>
        <w:spacing w:before="160" w:after="80"/>
        <w:rPr/>
      </w:pPr>
      <w:r>
        <w:rPr/>
        <w:t xml:space="preserve">3.3. Поле, АПМ и </w:t>
      </w:r>
      <w:r>
        <w:rPr>
          <w:lang w:val="ru-RU"/>
        </w:rPr>
        <w:t xml:space="preserve">обходы </w:t>
      </w:r>
      <w:r>
        <w:rPr/>
        <w:t>«</w:t>
      </w:r>
      <w:r>
        <w:rPr>
          <w:lang w:val="ru-RU"/>
        </w:rPr>
        <w:t xml:space="preserve">от </w:t>
      </w:r>
      <w:r>
        <w:rPr/>
        <w:t>двер</w:t>
      </w:r>
      <w:r>
        <w:rPr>
          <w:lang w:val="ru-RU"/>
        </w:rPr>
        <w:t>и</w:t>
      </w:r>
      <w:r>
        <w:rPr/>
        <w:t xml:space="preserve"> </w:t>
      </w:r>
      <w:r>
        <w:rPr>
          <w:lang w:val="ru-RU"/>
        </w:rPr>
        <w:t>к</w:t>
      </w:r>
      <w:r>
        <w:rPr/>
        <w:t xml:space="preserve"> двер</w:t>
      </w:r>
      <w:r>
        <w:rPr>
          <w:lang w:val="ru-RU"/>
        </w:rPr>
        <w:t>и</w:t>
      </w:r>
      <w:r>
        <w:rPr/>
        <w:t>» возвращаются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Татьяна Косачева и Евгений Минченко отметили </w:t>
      </w:r>
      <w:r>
        <w:rPr>
          <w:b/>
          <w:bCs/>
        </w:rPr>
        <w:t>ренессанс традиционной полевой кампании.</w:t>
      </w:r>
      <w:r>
        <w:rPr/>
        <w:t xml:space="preserve"> В условиях ограничений интернета, особенно в приграничных территориях, листовки, раздача АПМ и непосредственный контакт с избирателем снова приобретают повышенное значение.</w:t>
      </w:r>
    </w:p>
    <w:p>
      <w:pPr>
        <w:pStyle w:val="Normal"/>
        <w:spacing w:lineRule="auto" w:line="276" w:before="0" w:after="80"/>
        <w:ind w:firstLine="709"/>
        <w:jc w:val="both"/>
        <w:rPr>
          <w:b/>
          <w:b/>
          <w:bCs/>
        </w:rPr>
      </w:pPr>
      <w:r>
        <w:rPr>
          <w:b/>
          <w:bCs/>
        </w:rPr>
        <w:t>Для КПРФ это выгодно, поскольку организационная сеть и полевой актив относятся к числу ее традиционных сильных сторон.</w:t>
      </w:r>
    </w:p>
    <w:p>
      <w:pPr>
        <w:pStyle w:val="2"/>
        <w:spacing w:before="160" w:after="80"/>
        <w:rPr/>
      </w:pPr>
      <w:r>
        <w:rPr/>
        <w:t>3.4. Партийные соцсети должны стать «сигнальными центрами»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Один из наиболее практичных тезисов Дмитрия Еловского: </w:t>
      </w:r>
      <w:r>
        <w:rPr>
          <w:b/>
          <w:bCs/>
        </w:rPr>
        <w:t>партийные аккаунты не должны пытаться заменить массовые СМИ.</w:t>
      </w:r>
      <w:r>
        <w:rPr/>
        <w:t xml:space="preserve"> Их функция — создавать и передавать сигнал ядру сторонников, активистам и локальным лидерам, которые затем разносят его по своим аудиториям.</w:t>
      </w:r>
    </w:p>
    <w:p>
      <w:pPr>
        <w:pStyle w:val="Normal"/>
        <w:spacing w:lineRule="auto" w:line="276" w:before="0" w:after="80"/>
        <w:ind w:firstLine="709"/>
        <w:rPr/>
      </w:pPr>
      <w:r>
        <w:rPr/>
        <w:t>Для КПРФ оптимальная цепочка выглядит так:</w:t>
      </w:r>
    </w:p>
    <w:p>
      <w:pPr>
        <w:pStyle w:val="ListBullet"/>
        <w:numPr>
          <w:ilvl w:val="0"/>
          <w:numId w:val="1"/>
        </w:numPr>
        <w:spacing w:before="0" w:after="60"/>
        <w:ind w:left="397" w:hanging="170"/>
        <w:contextualSpacing/>
        <w:rPr/>
      </w:pPr>
      <w:r>
        <w:rPr/>
        <w:t>федеральный партийный ресурс → депутат → кандидат → региональное/районное отделение;</w:t>
      </w:r>
    </w:p>
    <w:p>
      <w:pPr>
        <w:pStyle w:val="ListBullet"/>
        <w:numPr>
          <w:ilvl w:val="0"/>
          <w:numId w:val="1"/>
        </w:numPr>
        <w:spacing w:before="0" w:after="60"/>
        <w:ind w:left="397" w:hanging="170"/>
        <w:contextualSpacing/>
        <w:rPr/>
      </w:pPr>
      <w:r>
        <w:rPr/>
        <w:t>далее → активист → локальный паблик → микроЛОМ → городское или районное сообщество.</w:t>
      </w:r>
    </w:p>
    <w:p>
      <w:pPr>
        <w:pStyle w:val="Normal"/>
        <w:spacing w:lineRule="auto" w:line="276" w:before="0" w:after="80"/>
        <w:ind w:firstLine="709"/>
        <w:jc w:val="both"/>
        <w:rPr>
          <w:i/>
          <w:i/>
          <w:iCs/>
        </w:rPr>
      </w:pPr>
      <w:r>
        <w:rPr>
          <w:i/>
          <w:iCs/>
        </w:rPr>
        <w:t>Это требует перестройки оценки эффективности: важны не только просмотры исходного партийного поста, но и количество его производных публикаций и общий охват всей сети.</w:t>
      </w:r>
    </w:p>
    <w:p>
      <w:pPr>
        <w:pStyle w:val="2"/>
        <w:spacing w:before="160" w:after="80"/>
        <w:rPr/>
      </w:pPr>
      <w:r>
        <w:rPr/>
        <w:t>3.5. МикроЛОМы и локальные лидеры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Марина Костычева рассказала, что </w:t>
      </w:r>
      <w:r>
        <w:rPr>
          <w:b/>
          <w:bCs/>
        </w:rPr>
        <w:t>«Единая Россия» активно использует микроЛОМов — учителей, представителей НКО и других известных на локальном уровне людей.</w:t>
      </w:r>
      <w:r>
        <w:rPr/>
        <w:t xml:space="preserve"> Информация, размещенная на личной странице человека, которому аудитория доверяет, воспринимается иначе, чем официальный партийный пресс-релиз.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>
          <w:b/>
          <w:bCs/>
        </w:rPr>
        <w:t xml:space="preserve">Для КПРФ имеет смысл строить собственные сети микроЛОМов вокруг кандидатов. </w:t>
      </w:r>
      <w:r>
        <w:rPr/>
        <w:t>Не обязательно искать крупных блогеров: сеть из десятков локальных авторитетных людей с небольшими, но доверительными аудиториями может быть эффективнее одного большого аккаунта.</w:t>
      </w:r>
    </w:p>
    <w:p>
      <w:pPr>
        <w:pStyle w:val="2"/>
        <w:spacing w:before="160" w:after="80"/>
        <w:rPr/>
      </w:pPr>
      <w:r>
        <w:rPr/>
        <w:t>3.6. Неполитические паблики и инфотеймент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Евгения Стулова отметила </w:t>
      </w:r>
      <w:r>
        <w:rPr>
          <w:i/>
          <w:iCs/>
        </w:rPr>
        <w:t>усталость аудитории от политической информации и предложила активнее использовать неполитические и развлекательные площадки, а также инфотеймент — легкую, человеческую подачу политического содержания.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>
          <w:b/>
          <w:bCs/>
        </w:rPr>
        <w:t>Практический вывод для КПРФ</w:t>
      </w:r>
      <w:r>
        <w:rPr/>
        <w:t>: меньше материалов по схеме «состоялось — выступил — отметил — подчеркнул»; больше конкретных историй людей, платежек, цен, дворовых и коммунальных проблем, человеческих конфликтов и понятных результатов работы.</w:t>
      </w:r>
    </w:p>
    <w:p>
      <w:pPr>
        <w:pStyle w:val="2"/>
        <w:spacing w:before="160" w:after="80"/>
        <w:rPr/>
      </w:pPr>
      <w:r>
        <w:rPr/>
        <w:t>3.7. Кандидату нужен образ будущего территории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Из выступления Александры Боковой, несмотря на перегруженность термином «социальная архитектура», можно извлечь рациональное зерно: </w:t>
      </w:r>
      <w:r>
        <w:rPr>
          <w:b/>
          <w:bCs/>
        </w:rPr>
        <w:t>сильному кандидату недостаточно только критиковать проблемы</w:t>
      </w:r>
      <w:r>
        <w:rPr/>
        <w:t>. У него должны быть один-два понятных проекта будущего своей территории, рассчитанных на несколько лет.</w:t>
      </w:r>
    </w:p>
    <w:p>
      <w:pPr>
        <w:pStyle w:val="1"/>
        <w:spacing w:before="160" w:after="80"/>
        <w:rPr/>
      </w:pPr>
      <w:r>
        <w:rPr/>
        <w:t xml:space="preserve">4. Кто </w:t>
      </w:r>
      <w:r>
        <w:rPr>
          <w:lang w:val="ru-RU"/>
        </w:rPr>
        <w:t>озвуч</w:t>
      </w:r>
      <w:r>
        <w:rPr/>
        <w:t xml:space="preserve">ил наиболее </w:t>
      </w:r>
      <w:r>
        <w:rPr>
          <w:lang w:val="ru-RU"/>
        </w:rPr>
        <w:t>систем</w:t>
      </w:r>
      <w:r>
        <w:rPr/>
        <w:t xml:space="preserve">ные </w:t>
      </w:r>
      <w:r>
        <w:rPr>
          <w:lang w:val="ru-RU"/>
        </w:rPr>
        <w:t xml:space="preserve">для КПРФ </w:t>
      </w:r>
      <w:r>
        <w:rPr/>
        <w:t>вещи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Евгений Минченко — в финале подтвердил рост оценки технологической команды, оргструктуры, лидеров и финансов КПРФ и сформулировал </w:t>
      </w:r>
      <w:r>
        <w:rPr>
          <w:b/>
          <w:bCs/>
        </w:rPr>
        <w:t>итоговый порядок: ЕР — первая, КПРФ — вторая, «Новые люди» — третьи, ЛДПР — четвертая.</w:t>
      </w:r>
    </w:p>
    <w:p>
      <w:pPr>
        <w:pStyle w:val="1"/>
        <w:spacing w:before="160" w:after="80"/>
        <w:rPr/>
      </w:pPr>
      <w:r>
        <w:rPr/>
        <w:t xml:space="preserve">5. Где спорно и где </w:t>
      </w:r>
      <w:r>
        <w:rPr>
          <w:lang w:val="ru-RU"/>
        </w:rPr>
        <w:t xml:space="preserve">явная </w:t>
      </w:r>
      <w:r>
        <w:rPr/>
        <w:t>«дичь»</w:t>
      </w:r>
    </w:p>
    <w:p>
      <w:pPr>
        <w:pStyle w:val="2"/>
        <w:spacing w:before="160" w:after="80"/>
        <w:rPr/>
      </w:pPr>
      <w:r>
        <w:rPr/>
        <w:t>5.1. Сергей Толмачев — наиболее спорная интерпретация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>Самое слабое место его выступления — утверждение, что «очевидно, есть два лидера: Единая Россия и Новые люди». Оно не следует из обсуждаемого исследования.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>По ресурсам КПРФ имеет 56 баллов, «Новые люди» — 55. По списочным мандатам КПРФ прогнозируют 30–44, «Новым людям» — 20–32. По одномандатным округам КПРФ — 4–20, «Новым людям» — 0–8. То есть ни по одному из главных электоральных прогнозных показателей «Новые люди» не стоят выше КПРФ.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>Поэтому формула о двух лидерах — это личная политическая интерпретация Толмачева, а не вывод данных.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>Столь же спорна противоположность: «</w:t>
      </w:r>
      <w:r>
        <w:rPr>
          <w:i/>
          <w:iCs/>
        </w:rPr>
        <w:t>КПРФ и ЛДПР борются за эфемерное второе место, а Новые люди просто борются за голоса</w:t>
      </w:r>
      <w:r>
        <w:rPr/>
        <w:t>». Борьба за голоса и борьба за место в рейтинге не являются взаимоисключающими задачами.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>Его тезис о том, что снятие «Яблока» автоматически добавляет голоса «Новым людям», также был фактически скорректирован Курковым, который оценил возможный переток как небольшой.</w:t>
      </w:r>
    </w:p>
    <w:p>
      <w:pPr>
        <w:pStyle w:val="2"/>
        <w:spacing w:before="160" w:after="80"/>
        <w:rPr/>
      </w:pPr>
      <w:r>
        <w:rPr/>
        <w:t>5.2. Дарья Кислицына — партийный PR под видом экспертной оценки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>Кислицына честно обозначила свою ангажированность, поэтому ее выступление правильнее воспринимать как самопрезентацию «Новых людей». Утверждение, что это единственная политическая сила, находящаяся в устойчивом восходящем тренде несколько лет, шире того, что доказывает исследование.</w:t>
      </w:r>
    </w:p>
    <w:p>
      <w:pPr>
        <w:pStyle w:val="Normal"/>
        <w:spacing w:lineRule="auto" w:line="276" w:before="0" w:after="80"/>
        <w:ind w:firstLine="709"/>
        <w:jc w:val="both"/>
        <w:rPr>
          <w:i/>
          <w:i/>
          <w:iCs/>
        </w:rPr>
      </w:pPr>
      <w:r>
        <w:rPr>
          <w:i/>
          <w:iCs/>
        </w:rPr>
        <w:t>Особенно слаб «энергетический параметр» — молодость, бодрость, заинтересованность. Это эмоциональное описание бренда, а не измеряемый политический показатель.</w:t>
      </w:r>
    </w:p>
    <w:p>
      <w:pPr>
        <w:pStyle w:val="2"/>
        <w:spacing w:before="160" w:after="80"/>
        <w:rPr/>
      </w:pPr>
      <w:r>
        <w:rPr/>
        <w:t>5.3. Александра Бокова — избыток «социальной архитектуры»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В выступлении много профессионального новояза: «образ будущего», «длинный цикл изменений», «социоархитектурные нарративы». Практический остаток гораздо проще: кандидат должен предлагать долгосрочные и понятные проекты развития территории. </w:t>
      </w:r>
      <w:r>
        <w:rPr>
          <w:b/>
          <w:bCs/>
        </w:rPr>
        <w:t>Объявлять практически любую инфраструктурную инициативу проявлением «социальной архитектуры» — чрезмерное расширение понятия.</w:t>
      </w:r>
    </w:p>
    <w:p>
      <w:pPr>
        <w:pStyle w:val="2"/>
        <w:spacing w:before="160" w:after="80"/>
        <w:rPr/>
      </w:pPr>
      <w:r>
        <w:rPr/>
        <w:t>5.4. Евгений Минченко — чрезмерно универсальный тезис об элитных договоренностях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Утверждение, что во всем мире элитные договоренности стоят на первом месте, а неожиданные результаты возникают из-за внутриэлитного раскола, слишком универсально. </w:t>
      </w:r>
      <w:r>
        <w:rPr>
          <w:b/>
          <w:bCs/>
        </w:rPr>
        <w:t>Внутриэлитный конфликт действительно может открывать окно возможностей, но не объясняет автоматически все электоральные неожиданности</w:t>
      </w:r>
      <w:r>
        <w:rPr/>
        <w:t>: остаются массовые настроения, социально-экономические кризисы, кандидатские эффекты и другие факторы.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>При этом политически для КПРФ само признание высокой роли элитных договоренностей выгодно: профессиональное сообщество фактически признает, что результат кампании определяется не только волей избирателя.</w:t>
      </w:r>
    </w:p>
    <w:p>
      <w:pPr>
        <w:pStyle w:val="2"/>
        <w:spacing w:before="160" w:after="80"/>
        <w:rPr/>
      </w:pPr>
      <w:r>
        <w:rPr/>
        <w:t>5.5. Дмитрий Еловский — сильная медиачасть, но спорная возрастная генерализация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>Характеристика региональных отделений через противопоставление предпринимателей 30–45 лет и партийцев 60–70 лет — эффектная, но аналитически слабая. Возраст сам по себе не определяет качество политического лидерства.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Рациональное зерно другое: </w:t>
      </w:r>
      <w:r>
        <w:rPr>
          <w:b/>
          <w:bCs/>
        </w:rPr>
        <w:t>региональная организация должна уметь разговаривать с предпринимателями, молодежью, врачами, учителями и локальными сообществами на понятном им языке</w:t>
      </w:r>
      <w:r>
        <w:rPr/>
        <w:t>.</w:t>
      </w:r>
    </w:p>
    <w:p>
      <w:pPr>
        <w:pStyle w:val="1"/>
        <w:spacing w:before="160" w:after="80"/>
        <w:rPr/>
      </w:pPr>
      <w:r>
        <w:rPr/>
        <w:t>6. Главная уязвимость линии о «Новых людях»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>Круглый стол сам частично разрушил создаваемый образ «Новых людей» как безусловного второго лидера. Кислицына и Толмачев строили рамку «молодые — динамичные — современные — восходящий тренд», однако другие эксперты поставили ее под сомнение.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>Потуремский задал вопрос: где в федеральном списке «Новых людей» собственно новые и яркие фигуры, которые обозначали бы новую идеологию. Курков прямо усомнился в высокой оценке партии по социальным медиа, заявив, что ничего выдающегося там не видно. Сам Минченко отметил, что его удивил особенно большой рост оценки «Новых людей» именно по идеологическому ресурсу и социальным медиа.</w:t>
      </w:r>
    </w:p>
    <w:p>
      <w:pPr>
        <w:pStyle w:val="Normal"/>
        <w:spacing w:lineRule="auto" w:line="276" w:before="0" w:after="80"/>
        <w:ind w:firstLine="709"/>
        <w:jc w:val="both"/>
        <w:rPr/>
      </w:pPr>
      <w:r>
        <w:rPr/>
        <w:t xml:space="preserve">Следовательно, </w:t>
      </w:r>
      <w:r>
        <w:rPr>
          <w:b/>
          <w:bCs/>
        </w:rPr>
        <w:t>один из наиболее уязвимых элементов исследования — скачок ресурсной оценки «Новых людей» с 35 до 55 баллов</w:t>
      </w:r>
      <w:r>
        <w:rPr/>
        <w:t>. Это +20 баллов за пять лет, причем участники дискуссии не дали столь же убедительного объяснения, почему этот экспертный скачок должен конвертироваться в сопоставимый с КПРФ электоральный ресурс.</w:t>
      </w:r>
    </w:p>
    <w:p>
      <w:pPr>
        <w:pStyle w:val="1"/>
        <w:spacing w:before="160" w:after="80"/>
        <w:rPr>
          <w:u w:val="single"/>
        </w:rPr>
      </w:pPr>
      <w:r>
        <w:rPr>
          <w:u w:val="single"/>
        </w:rPr>
        <w:t>7. Практические задачи для кампании КПРФ</w:t>
      </w:r>
    </w:p>
    <w:p>
      <w:pPr>
        <w:pStyle w:val="ListBullet"/>
        <w:numPr>
          <w:ilvl w:val="0"/>
          <w:numId w:val="1"/>
        </w:numPr>
        <w:spacing w:before="0" w:after="60"/>
        <w:ind w:left="397" w:hanging="170"/>
        <w:contextualSpacing/>
        <w:jc w:val="both"/>
        <w:rPr/>
      </w:pPr>
      <w:r>
        <w:rPr/>
        <w:t>Сконцентрировать дополнительные ресурсы на ограниченном числе реально конкурентных одномандатных округов.</w:t>
      </w:r>
    </w:p>
    <w:p>
      <w:pPr>
        <w:pStyle w:val="ListBullet"/>
        <w:numPr>
          <w:ilvl w:val="0"/>
          <w:numId w:val="1"/>
        </w:numPr>
        <w:spacing w:before="0" w:after="60"/>
        <w:ind w:left="397" w:hanging="170"/>
        <w:contextualSpacing/>
        <w:jc w:val="both"/>
        <w:rPr/>
      </w:pPr>
      <w:r>
        <w:rPr/>
        <w:t>Не сокращать печатный АПМ, работу «от двери к двери» и прямой контакт с избирателем.</w:t>
      </w:r>
    </w:p>
    <w:p>
      <w:pPr>
        <w:pStyle w:val="ListBullet"/>
        <w:widowControl/>
        <w:numPr>
          <w:ilvl w:val="0"/>
          <w:numId w:val="1"/>
        </w:numPr>
        <w:bidi w:val="0"/>
        <w:spacing w:lineRule="auto" w:line="276" w:before="0" w:after="60"/>
        <w:ind w:left="397" w:right="0" w:hanging="170"/>
        <w:contextualSpacing/>
        <w:jc w:val="both"/>
        <w:rPr/>
      </w:pPr>
      <w:r>
        <w:rPr/>
        <w:t>Перестроить Telegram и VK из «витрин» в центры производства и сетевого распространения контента.</w:t>
      </w:r>
    </w:p>
    <w:p>
      <w:pPr>
        <w:pStyle w:val="ListBullet"/>
        <w:numPr>
          <w:ilvl w:val="0"/>
          <w:numId w:val="1"/>
        </w:numPr>
        <w:spacing w:before="0" w:after="60"/>
        <w:ind w:left="397" w:hanging="170"/>
        <w:contextualSpacing/>
        <w:jc w:val="both"/>
        <w:rPr/>
      </w:pPr>
      <w:r>
        <w:rPr/>
        <w:t>Создать вокруг сильных кандидатов сети микроЛОМов и локальных авторитетных сторонников.</w:t>
      </w:r>
    </w:p>
    <w:p>
      <w:pPr>
        <w:pStyle w:val="ListBullet"/>
        <w:numPr>
          <w:ilvl w:val="0"/>
          <w:numId w:val="1"/>
        </w:numPr>
        <w:spacing w:before="0" w:after="60"/>
        <w:ind w:left="397" w:hanging="170"/>
        <w:contextualSpacing/>
        <w:jc w:val="both"/>
        <w:rPr/>
      </w:pPr>
      <w:r>
        <w:rPr/>
        <w:t>Активнее работать с неполитическими городскими, районными, бытовыми и тематическими пабликами.</w:t>
      </w:r>
    </w:p>
    <w:p>
      <w:pPr>
        <w:pStyle w:val="ListBullet"/>
        <w:numPr>
          <w:ilvl w:val="0"/>
          <w:numId w:val="1"/>
        </w:numPr>
        <w:spacing w:before="0" w:after="60"/>
        <w:ind w:left="397" w:hanging="170"/>
        <w:contextualSpacing/>
        <w:jc w:val="both"/>
        <w:rPr/>
      </w:pPr>
      <w:r>
        <w:rPr/>
        <w:t>Сократить официальный партийный язык; увеличить долю человеческих историй, конкретных конфликтов, цифр и визуально понятных кейсов.</w:t>
      </w:r>
    </w:p>
    <w:p>
      <w:pPr>
        <w:pStyle w:val="ListBullet"/>
        <w:numPr>
          <w:ilvl w:val="0"/>
          <w:numId w:val="1"/>
        </w:numPr>
        <w:spacing w:before="0" w:after="60"/>
        <w:ind w:left="397" w:hanging="170"/>
        <w:contextualSpacing/>
        <w:jc w:val="both"/>
        <w:rPr/>
      </w:pPr>
      <w:r>
        <w:rPr/>
        <w:t>Для каждого сильного кандидата сформулировать один-два проекта будущего территории.</w:t>
      </w:r>
    </w:p>
    <w:p>
      <w:pPr>
        <w:pStyle w:val="ListBullet"/>
        <w:numPr>
          <w:ilvl w:val="0"/>
          <w:numId w:val="1"/>
        </w:numPr>
        <w:spacing w:before="0" w:after="60"/>
        <w:ind w:left="397" w:hanging="170"/>
        <w:contextualSpacing/>
        <w:jc w:val="both"/>
        <w:rPr/>
      </w:pPr>
      <w:r>
        <w:rPr/>
        <w:t>Не принимать навязанную рамку «КПРФ — старая, Новые люди — молодые». Противопоставлять новизне бренда устойчивость политической силы, организации и реального электората.</w:t>
      </w:r>
    </w:p>
    <w:p>
      <w:pPr>
        <w:pStyle w:val="1"/>
        <w:spacing w:before="160" w:after="80"/>
        <w:rPr/>
      </w:pPr>
      <w:r>
        <w:rPr/>
        <w:t>8. Оценка участников с точки зрения полезности для КПРФ</w:t>
      </w:r>
    </w:p>
    <w:tbl>
      <w:tblPr>
        <w:tblStyle w:val="TableGrid"/>
        <w:tblW w:w="997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40"/>
        <w:gridCol w:w="3285"/>
        <w:gridCol w:w="3748"/>
      </w:tblGrid>
      <w:tr>
        <w:trPr/>
        <w:tc>
          <w:tcPr>
            <w:tcW w:w="2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b/>
                <w:kern w:val="0"/>
                <w:sz w:val="26"/>
                <w:szCs w:val="26"/>
                <w:lang w:val="en-US" w:eastAsia="en-US" w:bidi="ar-SA"/>
              </w:rPr>
              <w:t>Группа</w:t>
            </w:r>
          </w:p>
        </w:tc>
        <w:tc>
          <w:tcPr>
            <w:tcW w:w="3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b/>
                <w:kern w:val="0"/>
                <w:sz w:val="26"/>
                <w:szCs w:val="26"/>
                <w:lang w:val="en-US" w:eastAsia="en-US" w:bidi="ar-SA"/>
              </w:rPr>
              <w:t>Участники</w:t>
            </w:r>
          </w:p>
        </w:tc>
        <w:tc>
          <w:tcPr>
            <w:tcW w:w="37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b/>
                <w:kern w:val="0"/>
                <w:sz w:val="26"/>
                <w:szCs w:val="26"/>
                <w:lang w:val="en-US" w:eastAsia="en-US" w:bidi="ar-SA"/>
              </w:rPr>
              <w:t>Оценка</w:t>
            </w:r>
          </w:p>
        </w:tc>
      </w:tr>
      <w:tr>
        <w:trPr/>
        <w:tc>
          <w:tcPr>
            <w:tcW w:w="2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Наиболее полезные</w:t>
            </w:r>
          </w:p>
        </w:tc>
        <w:tc>
          <w:tcPr>
            <w:tcW w:w="3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С. Обухов, С. Старовойтов, В. Курков, Д. Еловский, Е. Стулова</w:t>
            </w:r>
          </w:p>
        </w:tc>
        <w:tc>
          <w:tcPr>
            <w:tcW w:w="37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Сильные политические и практические выводы; значительная часть может быть использована в кампании.</w:t>
            </w:r>
          </w:p>
        </w:tc>
      </w:tr>
      <w:tr>
        <w:trPr/>
        <w:tc>
          <w:tcPr>
            <w:tcW w:w="2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Полезны отдельные идеи</w:t>
            </w:r>
          </w:p>
        </w:tc>
        <w:tc>
          <w:tcPr>
            <w:tcW w:w="3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Т. Косачева, М. Костычева, В. Потуремский, К. Костин, Е. Минченко</w:t>
            </w:r>
          </w:p>
        </w:tc>
        <w:tc>
          <w:tcPr>
            <w:tcW w:w="37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Есть важные технологические и методологические наблюдения, но отдельные выводы требуют критической оценки.</w:t>
            </w:r>
          </w:p>
        </w:tc>
      </w:tr>
      <w:tr>
        <w:trPr/>
        <w:tc>
          <w:tcPr>
            <w:tcW w:w="2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Партийная самопрезентация</w:t>
            </w:r>
          </w:p>
        </w:tc>
        <w:tc>
          <w:tcPr>
            <w:tcW w:w="3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Д. Кислицына</w:t>
            </w:r>
          </w:p>
        </w:tc>
        <w:tc>
          <w:tcPr>
            <w:tcW w:w="37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Полезна прежде всего как понимание того, какую рамку будут продвигать «Новые люди».</w:t>
            </w:r>
          </w:p>
        </w:tc>
      </w:tr>
      <w:tr>
        <w:trPr/>
        <w:tc>
          <w:tcPr>
            <w:tcW w:w="2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Много концептуального языка</w:t>
            </w:r>
          </w:p>
        </w:tc>
        <w:tc>
          <w:tcPr>
            <w:tcW w:w="3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А. Бокова</w:t>
            </w:r>
          </w:p>
        </w:tc>
        <w:tc>
          <w:tcPr>
            <w:tcW w:w="37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Практический вывод сводится к необходимости долгосрочных проектов и образа будущего территории.</w:t>
            </w:r>
          </w:p>
        </w:tc>
      </w:tr>
      <w:tr>
        <w:trPr/>
        <w:tc>
          <w:tcPr>
            <w:tcW w:w="2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Наиболее спорная интерпретация</w:t>
            </w:r>
          </w:p>
        </w:tc>
        <w:tc>
          <w:tcPr>
            <w:tcW w:w="3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С. Толмачев</w:t>
            </w:r>
          </w:p>
        </w:tc>
        <w:tc>
          <w:tcPr>
            <w:tcW w:w="37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sz w:val="26"/>
                <w:szCs w:val="26"/>
                <w:lang w:val="en-US" w:eastAsia="en-US" w:bidi="ar-SA"/>
              </w:rPr>
            </w:pPr>
            <w:r>
              <w:rPr>
                <w:rFonts w:eastAsia="Times New Roman" w:cs=""/>
                <w:kern w:val="0"/>
                <w:sz w:val="26"/>
                <w:szCs w:val="26"/>
                <w:lang w:val="en-US" w:eastAsia="en-US" w:bidi="ar-SA"/>
              </w:rPr>
              <w:t>Вывод о двух лидерах — ЕР и «Новых людях» — не подтверждается собственными цифрами исследования.</w:t>
            </w:r>
          </w:p>
        </w:tc>
      </w:tr>
    </w:tbl>
    <w:p>
      <w:pPr>
        <w:pStyle w:val="1"/>
        <w:spacing w:before="160" w:after="80"/>
        <w:rPr/>
      </w:pPr>
      <w:r>
        <w:rPr/>
        <w:t>9. Итог</w:t>
      </w:r>
    </w:p>
    <w:p>
      <w:pPr>
        <w:pStyle w:val="Normal"/>
        <w:spacing w:before="0" w:after="100"/>
        <w:ind w:left="567" w:right="397" w:hanging="0"/>
        <w:jc w:val="both"/>
        <w:rPr/>
      </w:pPr>
      <w:r>
        <w:rPr>
          <w:i/>
          <w:u w:val="single"/>
        </w:rPr>
        <w:t>РАСО невольно подтвердило главный стратегический актив КПРФ:</w:t>
      </w:r>
      <w:r>
        <w:rPr>
          <w:i/>
        </w:rPr>
        <w:t xml:space="preserve"> партия остается второй политической силой страны не благодаря “покупным” технологиям, а благодаря инфраструктуре, идеологии и устойчивому электорату. Основная опасность — попытка экспертно-медийной среды приподнять «Новых людей» до статуса главного конкурента КПРФ; основной резерв — одномандатные округа, поле</w:t>
      </w:r>
      <w:r>
        <w:rPr>
          <w:i/>
          <w:lang w:val="ru-RU"/>
        </w:rPr>
        <w:t>вая работа</w:t>
      </w:r>
      <w:r>
        <w:rPr>
          <w:i/>
        </w:rPr>
        <w:t xml:space="preserve"> и сетевое распространение локального контента.</w:t>
      </w:r>
    </w:p>
    <w:p>
      <w:pPr>
        <w:pStyle w:val="Normal"/>
        <w:spacing w:before="240" w:after="60"/>
        <w:jc w:val="right"/>
        <w:rPr>
          <w:u w:val="single"/>
        </w:rPr>
      </w:pPr>
      <w:r>
        <w:rPr/>
      </w:r>
    </w:p>
    <w:p>
      <w:pPr>
        <w:pStyle w:val="Normal"/>
        <w:spacing w:before="240" w:after="60"/>
        <w:jc w:val="right"/>
        <w:rPr>
          <w:u w:val="single"/>
        </w:rPr>
      </w:pPr>
      <w:r>
        <w:rPr>
          <w:b/>
          <w:i/>
          <w:iCs/>
          <w:sz w:val="24"/>
          <w:szCs w:val="24"/>
          <w:u w:val="single"/>
        </w:rPr>
        <w:t>Подготовил:</w:t>
      </w:r>
    </w:p>
    <w:p>
      <w:pPr>
        <w:pStyle w:val="Normal"/>
        <w:spacing w:before="0" w:after="40"/>
        <w:jc w:val="right"/>
        <w:rPr>
          <w:i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А.М. Михальчук</w:t>
      </w:r>
      <w:r>
        <w:rPr>
          <w:i/>
          <w:iCs/>
          <w:sz w:val="24"/>
          <w:szCs w:val="24"/>
        </w:rPr>
        <w:t>, зам. зав. Отдела ЦК КПРФ</w:t>
      </w:r>
    </w:p>
    <w:p>
      <w:pPr>
        <w:pStyle w:val="Normal"/>
        <w:spacing w:before="160" w:after="60"/>
        <w:jc w:val="right"/>
        <w:rPr>
          <w:u w:val="single"/>
        </w:rPr>
      </w:pPr>
      <w:r>
        <w:rPr>
          <w:b/>
          <w:i/>
          <w:iCs/>
          <w:sz w:val="24"/>
          <w:szCs w:val="24"/>
          <w:u w:val="single"/>
        </w:rPr>
        <w:t>Ответственный за выпуск:</w:t>
      </w:r>
    </w:p>
    <w:p>
      <w:pPr>
        <w:pStyle w:val="Normal"/>
        <w:spacing w:before="0" w:after="40"/>
        <w:jc w:val="right"/>
        <w:rPr>
          <w:i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И.М. Куприянова</w:t>
      </w:r>
      <w:r>
        <w:rPr>
          <w:i/>
          <w:iCs/>
          <w:sz w:val="24"/>
          <w:szCs w:val="24"/>
        </w:rPr>
        <w:t>, заведующая Отделом ЦК КПРФ</w:t>
      </w:r>
    </w:p>
    <w:sectPr>
      <w:footerReference w:type="default" r:id="rId3"/>
      <w:type w:val="nextPage"/>
      <w:pgSz w:w="12240" w:h="15840"/>
      <w:pgMar w:left="1247" w:right="1020" w:gutter="0" w:header="0" w:top="1020" w:footer="720" w:bottom="10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ourier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jc w:val="center"/>
      <w:rPr/>
    </w:pPr>
    <w:r>
      <w:rPr>
        <w:sz w:val="18"/>
      </w:rPr>
      <w:t>Аналитический обзор по материалам круглого стола РАСО и презентации экспертного исследования, август 2026 г.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" w:cstheme="minorBidi"/>
      <w:color w:val="auto"/>
      <w:kern w:val="0"/>
      <w:sz w:val="28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8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Style5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6">
    <w:name w:val="Заголовок"/>
    <w:basedOn w:val="Normal"/>
    <w:next w:val="Style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7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Style8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Style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ucida Sans"/>
    </w:rPr>
  </w:style>
  <w:style w:type="paragraph" w:styleId="Style11">
    <w:name w:val="Колонтитул"/>
    <w:basedOn w:val="Normal"/>
    <w:qFormat/>
    <w:pPr/>
    <w:rPr/>
  </w:style>
  <w:style w:type="paragraph" w:styleId="Style12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yle13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Style14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b/>
      <w:color w:val="17365D" w:themeColor="text2" w:themeShade="bf"/>
      <w:spacing w:val="5"/>
      <w:kern w:val="2"/>
      <w:sz w:val="32"/>
      <w:szCs w:val="52"/>
    </w:rPr>
  </w:style>
  <w:style w:type="paragraph" w:styleId="Style15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Style16">
    <w:name w:val="Index Heading"/>
    <w:basedOn w:val="Style6"/>
    <w:pPr/>
    <w:rPr/>
  </w:style>
  <w:style w:type="paragraph" w:styleId="Style17">
    <w:name w:val="TOC Heading"/>
    <w:basedOn w:val="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LibreOffice/7.4.7.2$Windows_X86_64 LibreOffice_project/723314e595e8007d3cf785c16538505a1c878ca5</Application>
  <AppVersion>15.0000</AppVersion>
  <Pages>7</Pages>
  <Words>1545</Words>
  <Characters>10577</Characters>
  <CharactersWithSpaces>12056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2026-08-13T10:15:05Z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