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6286500" cy="1981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drawing>
          <wp:inline distT="0" distB="0" distL="0" distR="0">
            <wp:extent cx="4762500" cy="3171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sz w:val="30"/>
          <w:szCs w:val="30"/>
          <w:u w:val="single"/>
        </w:rPr>
        <w:t xml:space="preserve">Региональный топливный кризис: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b/>
          <w:bCs/>
          <w:i/>
          <w:iCs/>
          <w:sz w:val="30"/>
          <w:szCs w:val="30"/>
        </w:rPr>
        <w:t xml:space="preserve">Недельный обзор за 27 июля — 2 августа. География очагов, рейтинг интенсивности проявлений в соцмедиа, реакция властей и партий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Период исследования: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27 июля — 2 августа 2026 года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Подготовлено: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03.08.2026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База сравнения: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неделя 20–26 июля 2026 года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Источники данных: </w:t>
      </w:r>
      <w:r>
        <w:rPr>
          <w:rFonts w:ascii="Times New Roman" w:cs="Times New Roman" w:eastAsia="Times New Roman" w:hAnsi="Times New Roman"/>
          <w:i/>
          <w:iCs/>
          <w:sz w:val="28"/>
          <w:szCs w:val="28"/>
        </w:rPr>
        <w:t xml:space="preserve">система мониторинга Крибрум; социальные сети</w:t>
      </w:r>
    </w:p>
    <w:p>
      <w:pPr>
        <w:spacing w:after="100"/>
      </w:pPr>
    </w:p>
    <w:p>
      <w:pPr>
        <w:spacing w:after="140" w:before="2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</w:rPr>
        <w:t xml:space="preserve">Ключевые выводы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 окончательно перешла в глубокий фоновый режим.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Все ключевые показатели снизились к предыдущей неделе: сообщения −20,2% (174,3 → 139,1 тыс.), авторы −8,7% (72,5 → 66,2 тыс.), потенциальный охват −9,1% (1,1 млрд → 1 млрд), просмотры −26,9% (245 → 179 млн). Опережающее падение просмотров подтверждает усталость аудитории: признаков возобновления общественного интереса нет.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Смена лидера рейтинга: Костромская область (+162%).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Регион вышел на 1-е место с индексом 133,9, сместив Якутию, чей индекс обрушился на 68% (252,2 → 81,0). Псковская область потеряла 82% и опустилась со 2-й на 31-ю позицию. Карелия и Севастополь сохранили места в тройке.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Очаги роста — Сибирь и Северо-Запад.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Наибольший недельный рост показали Кемеровская область — Кузбасс (+121%, до 109,6) и Пензенская область (+99%, до 76,8). Резкое падение Забайкальского края (−58%) и Ульяновской области (−84%) подтверждает краткосрочность региональных информационных всплесков.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Главный генератор резонанса — атаки БПЛА по НПЗ.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Четыре из пяти самых обсуждаемых инцидентов недели — удары беспилотников по НПЗ в Рязани (2 322 сообщения), Саратове (1 158), Уфе (767) и Перми (397). Военный фактор впервые полностью вытеснил бытовые сюжеты очередей из верхней части инцидентного рейтинга.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Политика: сенсационное лидерство СРЗП, «негативное» лидерство ЕР утрачено.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«Справедливая Россия — За правду» (1 657) впервые обошла «Единую Россию» (1 493, минус более 3 тыс. упоминаний за неделю) за счёт персонализированных региональных кейсов. КПРФ (1 314) удерживает позицию содержательной альтернативы: законопроекты о национализации НПЗ и потолке цен, пикеты и раздача воды в очередях. «Новые Люди» дали кратный рост (58 → 513) исключительно на выборной, а не топливной повестке.</w:t>
      </w:r>
    </w:p>
    <w:p>
      <w:r>
        <w:br w:type="page"/>
      </w:r>
    </w:p>
    <w:p>
      <w:pPr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1. Рейтинг интенсивности проявлений в соцмедиа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Неделя 27 июля — 2 августа подтвердила устойчивый нисходящий тренд: все четыре ключевых показателя обсуждения топливного кризиса продолжили снижаться по сравнению с предыдущей неделей 20–26 июля. Объём сообщений сократился на пятую часть, а просмотры — более чем на четверть, то есть аудитория теряет интерес быстрее, чем авторы прекращают писать.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300"/>
        <w:gridCol w:w="2400"/>
        <w:gridCol w:w="1800"/>
      </w:tblGrid>
      <w:tr>
        <w:trPr>
          <w:tblHeader/>
        </w:trPr>
        <w:tc>
          <w:tcPr>
            <w:tcW w:type="dxa" w:w="32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Показатель</w:t>
            </w:r>
          </w:p>
        </w:tc>
        <w:tc>
          <w:tcPr>
            <w:tcW w:type="dxa" w:w="23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20–26 июля</w:t>
            </w:r>
          </w:p>
        </w:tc>
        <w:tc>
          <w:tcPr>
            <w:tcW w:type="dxa" w:w="24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27 июля — 2 августа</w:t>
            </w:r>
          </w:p>
        </w:tc>
        <w:tc>
          <w:tcPr>
            <w:tcW w:type="dxa" w:w="18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Δ за неделю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Сообщения</w:t>
            </w:r>
          </w:p>
        </w:tc>
        <w:tc>
          <w:tcPr>
            <w:tcW w:type="dxa" w:w="2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174,3 тыс.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139,1 тыс.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−20,2%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Авторы</w:t>
            </w:r>
          </w:p>
        </w:tc>
        <w:tc>
          <w:tcPr>
            <w:tcW w:type="dxa" w:w="2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72,5 тыс.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66,2 тыс.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−8,7%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Потенциальный охват</w:t>
            </w:r>
          </w:p>
        </w:tc>
        <w:tc>
          <w:tcPr>
            <w:tcW w:type="dxa" w:w="2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1,1 млрд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млрд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−9,1%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Просмотры</w:t>
            </w:r>
          </w:p>
        </w:tc>
        <w:tc>
          <w:tcPr>
            <w:tcW w:type="dxa" w:w="2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245 млн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179 млн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−26,9%</w:t>
            </w:r>
          </w:p>
        </w:tc>
      </w:tr>
    </w:tbl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Данные: система мониторинга Крибрум, социальные сети (без учёта X и Facebook).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Внутри недели динамика была неравномерной. После понедельничного минимума (18,4 тыс. сообщений 27 июля) активность росла к среде — пик 24,7 тыс. пришёлся на 30 июля, — а затем устойчиво снижалась к выходным. Недельный профиль «горб в середине недели» типичен для фоновой фазы: тему двигают отдельные инфоповоды (атаки на НПЗ, заявления губернаторов), а не самоподдерживающийся общественный интерес.</w:t>
      </w:r>
    </w:p>
    <w:p>
      <w:pPr>
        <w:spacing w:after="120"/>
        <w:jc w:val="center"/>
      </w:pPr>
      <w:r>
        <w:drawing>
          <wp:inline distT="0" distB="0" distL="0" distR="0">
            <wp:extent cx="6096000" cy="2305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График 1. Суточная динамика сообщений за 27 июля — 2 августа (тыс.; значения промежуточных дней — оценка по недельному объёму).</w:t>
      </w:r>
    </w:p>
    <w:p>
      <w:r>
        <w:br w:type="page"/>
      </w:r>
    </w:p>
    <w:p>
      <w:pPr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2. География очагов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Главное событие недели — смена лидера рейтинга.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Костромская область (+162% за неделю, индекс 133,9 при 706 сообщениях) вышла на первое место, сместив Якутию: республика, две недели подряд возглавлявшая рейтинг на теме QR-нормирования и «северного завоза», потеряла 68% индекса (252,2 → 81,0) и опустилась на 6-е место. Ещё показательнее обвал Псковской области: −82%, со 2-й на 31-ю позицию — очаг, продержавшийся в топе несколько недель, погас окончательно.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Тройка стабилизировалась лишь частично.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Карелия (112,4) и Севастополь (112,3) сохранили 2-е и 3-е места, демонстрируя редкую для этой темы устойчивость. Наибольший рост показали Кемеровская область — Кузбасс (+121%, до 109,6 при 2 595 сообщениях — второй объём по стране) и Пензенская область (+99%, до 76,8). Одновременно резко упали Забайкальский край (−58%) и Ульяновская область (−84%) — срок жизни регионального всплеска по-прежнему не превышает нескольких суток.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Объём против интенсивности.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По абсолютному числу сообщений лидируют Москва (2 660), Кемеровская область (2 595), Башкортостан (2 362) и Краснодарский край (1 787). Москва традиционно даёт большой объём при низком удельном индексе (22,0 — 58-е место). Общее снижение упоминаний в большинстве регионов говорит о затухании интереса к теме, несмотря на отдельные очаги роста в Сибири и на Северо-Западе.</w:t>
      </w:r>
    </w:p>
    <w:p>
      <w:pPr>
        <w:spacing w:after="120"/>
        <w:jc w:val="center"/>
      </w:pPr>
      <w:r>
        <w:drawing>
          <wp:inline distT="0" distB="0" distL="0" distR="0">
            <wp:extent cx="5810250" cy="3362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График 2. Топ-10 регионов по индексу активности за 27 июля — 2 августа.</w:t>
      </w:r>
    </w:p>
    <w:p>
      <w:pPr>
        <w:spacing w:after="140" w:before="2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2.1. Полный рейтинг регионов (все 89 субъектов РФ)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Ниже приведён полный рейтинг субъектов РФ по Индексу активности за неделю 27 июля — 2 августа 2026 года с числом упоминаний. Строки новых регионов (ДНР, ЛНР, Запорожская и Херсонская области) выделены цветом.</w:t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300"/>
        <w:gridCol w:w="1900"/>
        <w:gridCol w:w="1600"/>
      </w:tblGrid>
      <w:tr>
        <w:trPr>
          <w:tblHeader/>
        </w:trPr>
        <w:tc>
          <w:tcPr>
            <w:tcW w:type="dxa" w:w="7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43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Регион</w:t>
            </w:r>
          </w:p>
        </w:tc>
        <w:tc>
          <w:tcPr>
            <w:tcW w:type="dxa" w:w="19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Упоминаний</w:t>
            </w:r>
          </w:p>
        </w:tc>
        <w:tc>
          <w:tcPr>
            <w:tcW w:type="dxa" w:w="16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Индекс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Костромская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706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133,9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Карелия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547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112,4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Севастополь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578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112,3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Кемеровская область — Кузбасс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2 595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109,6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Республика Алтай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94,2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Саха (Якутия)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745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81,0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Пензенская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883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76,8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Марий Эл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68,1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Башкортостан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2 362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62,8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Пермский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1 367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59,1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Ненецкий АО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57,7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Кировская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599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57,1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Архангельская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519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56,0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Крым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958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54,2</w:t>
            </w:r>
          </w:p>
        </w:tc>
      </w:tr>
      <w:tr>
        <w:trPr>
          <w:tblHeader w:val="false"/>
        </w:trPr>
        <w:tc>
          <w:tcPr>
            <w:tcW w:type="dxa" w:w="7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15</w:t>
            </w:r>
          </w:p>
        </w:tc>
        <w:tc>
          <w:tcPr>
            <w:tcW w:type="dxa" w:w="43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ДНР</w:t>
            </w:r>
          </w:p>
        </w:tc>
        <w:tc>
          <w:tcPr>
            <w:tcW w:type="dxa" w:w="19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1 053</w:t>
            </w:r>
          </w:p>
        </w:tc>
        <w:tc>
          <w:tcPr>
            <w:tcW w:type="dxa" w:w="16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53,8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Нижегородская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1 524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53,6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Удмуртия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705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53,0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Курская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443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45,0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Вологодская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461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44,3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Самарская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1 278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44,1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Мордовия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310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43,6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Белгородская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604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43,3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Тыва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Коми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285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Мурманская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256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Оренбургская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705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41,5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Хакасия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200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40,9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Забайкальский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364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39,8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Свердловская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1 541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39,4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Калининградская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375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39,4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Псковская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35,6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Красноярский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912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34,8</w:t>
            </w:r>
          </w:p>
        </w:tc>
      </w:tr>
      <w:tr>
        <w:trPr>
          <w:tblHeader w:val="false"/>
        </w:trPr>
        <w:tc>
          <w:tcPr>
            <w:tcW w:type="dxa" w:w="7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33</w:t>
            </w:r>
          </w:p>
        </w:tc>
        <w:tc>
          <w:tcPr>
            <w:tcW w:type="dxa" w:w="43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Запорожская область</w:t>
            </w:r>
          </w:p>
        </w:tc>
        <w:tc>
          <w:tcPr>
            <w:tcW w:type="dxa" w:w="19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270</w:t>
            </w:r>
          </w:p>
        </w:tc>
        <w:tc>
          <w:tcPr>
            <w:tcW w:type="dxa" w:w="16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34,6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Ленинградская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623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33,4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Краснодарский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1 787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33,3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Тамбовская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296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33,2</w:t>
            </w:r>
          </w:p>
        </w:tc>
      </w:tr>
      <w:tr>
        <w:trPr>
          <w:tblHeader w:val="false"/>
        </w:trPr>
        <w:tc>
          <w:tcPr>
            <w:tcW w:type="dxa" w:w="7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37</w:t>
            </w:r>
          </w:p>
        </w:tc>
        <w:tc>
          <w:tcPr>
            <w:tcW w:type="dxa" w:w="43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Херсонская область</w:t>
            </w:r>
          </w:p>
        </w:tc>
        <w:tc>
          <w:tcPr>
            <w:tcW w:type="dxa" w:w="19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302</w:t>
            </w:r>
          </w:p>
        </w:tc>
        <w:tc>
          <w:tcPr>
            <w:tcW w:type="dxa" w:w="16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32,8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Алтайский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637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32,4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Томская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314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32,4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Санкт-Петербург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1 605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31,1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Сахалинская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Волгоградская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697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Ивановская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30,5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Челябинская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925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29,4</w:t>
            </w:r>
          </w:p>
        </w:tc>
      </w:tr>
      <w:tr>
        <w:trPr>
          <w:tblHeader w:val="false"/>
        </w:trPr>
        <w:tc>
          <w:tcPr>
            <w:tcW w:type="dxa" w:w="7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45</w:t>
            </w:r>
          </w:p>
        </w:tc>
        <w:tc>
          <w:tcPr>
            <w:tcW w:type="dxa" w:w="43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ЛНР</w:t>
            </w:r>
          </w:p>
        </w:tc>
        <w:tc>
          <w:tcPr>
            <w:tcW w:type="dxa" w:w="19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364</w:t>
            </w:r>
          </w:p>
        </w:tc>
        <w:tc>
          <w:tcPr>
            <w:tcW w:type="dxa" w:w="1600"/>
            <w:shd w:fill="FBE4D5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28,2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Чувашская Республика — Чувашия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305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28,2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Новгородская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147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27,7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Саратовская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613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Воронежская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538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25,5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Новосибирская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655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Омская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429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Липецкая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263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Астраханская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220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25,1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Татарстан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889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24,1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ХМАО-Югра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379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23,8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Ставропольский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623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23,4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ЯНАО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110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23,3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Москва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2 660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22,0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Магаданская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21,8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Владимирская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240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Тюменская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679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Калужская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Ярославская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202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Чукотский АО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Брянская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Тверская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17,5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Хабаровский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206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Ростовская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661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Рязанская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158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15,7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Северная Осетия — Алания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15,0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Курганская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Иркутская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284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13,1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Ульяновская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141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12,9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Орловская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12,9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Камчатский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33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12,4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Тульская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168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12,3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Еврейская АО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10,3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Смоленская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Московская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787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80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Калмыкия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8,6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81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Бурятия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7,8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82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Приморский край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92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5,5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83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Карачаево-Черкесия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18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84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Амурская область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26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3,7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85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Адыгея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86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Чечня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31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2,2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87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Дагестан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60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2,0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88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Ингушетия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1,9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89</w:t>
            </w:r>
          </w:p>
        </w:tc>
        <w:tc>
          <w:tcPr>
            <w:tcW w:type="dxa" w:w="4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Кабардино-Балкария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0,6</w:t>
            </w:r>
          </w:p>
        </w:tc>
      </w:tr>
    </w:tbl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Индекс — нормированная активность по теме на 100 тыс. населения региона. Данные: система мониторинга Крибрум.</w:t>
      </w:r>
    </w:p>
    <w:p>
      <w:r>
        <w:br w:type="page"/>
      </w:r>
    </w:p>
    <w:p>
      <w:pPr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3. Реакция местных властей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Неделя зафиксировала окончательное расхождение двух управленческих линий. Первая — «риторика нормализации»: Омская область сняла лимиты на отпуск топлива, Кировская отменила отпуск по номерам машин, Краснодарский край констатировал «улучшение ситуации на заправочных станциях». Вторая — возврат к нормированию: Республика Алтай ввела 24-часовой интервал между заправками одного автомобиля, а Нижегородская область анонсировала тестирование продажи топлива по QR-коду. Максимальный резонанс при этом дали не решения, а требовательная риторика: лидерами цитируемости стали Д. Паслер (Свердловская область, 875 сообщений) с поручением о запасах топлива и оперативно-диспетчерском управлении и В. Федорищев (Самарская область, 799), публично заявивший о неудовлетворённости проведённой работой и необходимости выявлять спекуляции.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50"/>
        <w:gridCol w:w="4750"/>
        <w:gridCol w:w="1300"/>
      </w:tblGrid>
      <w:tr>
        <w:trPr>
          <w:tblHeader/>
        </w:trPr>
        <w:tc>
          <w:tcPr>
            <w:tcW w:type="dxa" w:w="6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265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Представитель</w:t>
            </w:r>
          </w:p>
        </w:tc>
        <w:tc>
          <w:tcPr>
            <w:tcW w:type="dxa" w:w="475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Тема / цитата</w:t>
            </w:r>
          </w:p>
        </w:tc>
        <w:tc>
          <w:tcPr>
            <w:tcW w:type="dxa" w:w="13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Сообщений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Свердловской области Д. Паслер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«Должны быть выполнены необходимые работы на сетях, сформированы запасы топлива, отлажено оперативно-диспетчерское управление»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875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Самарской области В. Федорищев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«Проведённой работой не удовлетворён. Необходимо внедрить мониторинг цен и выявлять возможные спекуляции — через анализ поставок и остатков топлива. Жду дополнительной проработки вопроса»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799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Республики Алтай А. Турчак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«Ввели в Республике 24-часовой интервал между заправками одного автомобиля»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730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Пресс-служба правительства Нижегородской области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Продажу топлива по QR-коду начнут тестировать в Нижегородской области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652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Краснодарского края В. Кондратьев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«Видим улучшение ситуации и на заправочных станциях по краю»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544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Кузбасса И. Середюк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Рассказал о ситуации с топливом в регионе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431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Томской области В. Мазур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«На отдельном контроле — наличие моторного топлива на АЗС, обеспеченность ГСМ предприятий АПК и ЖКХ, оперативных служб, лесопожарных формирований»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372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Севастополя М. Развожаев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Ежедневные сводки по ситуации с топливом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363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Омской области В. Хоценко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 Омской области сняты лимиты на отпуск топлива на АЗС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248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10</w:t>
            </w:r>
          </w:p>
        </w:tc>
        <w:tc>
          <w:tcPr>
            <w:tcW w:type="dxa" w:w="26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Губернатор Кировской области А. Соколов</w:t>
            </w:r>
          </w:p>
        </w:tc>
        <w:tc>
          <w:tcPr>
            <w:tcW w:type="dxa" w:w="47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На заседании оперативного штаба принято решение отменить отпуск топлива по номерам машин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194</w:t>
            </w:r>
          </w:p>
        </w:tc>
      </w:tr>
    </w:tbl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Топ-10 цитируемых представителей региональных властей по числу сообщений. Данные: система мониторинга Крибрум.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</w:rPr>
        <w:t xml:space="preserve">Вывод: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публичная жёсткость к собственным подчинённым и продавцам топлива (Паслер, Федорищев) генерирует больший резонанс, чем отчёты о нормализации. Введение новых ограничений (Республика Алтай, Нижегородская область) стабильно даёт высокие позиции в цитируемости — с преимущественно негативной тональностью обсуждения.</w:t>
      </w:r>
    </w:p>
    <w:p>
      <w:pPr>
        <w:spacing w:after="140" w:before="2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3.1. Топ-10 инцидентов недели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Инцидентный ряд недели радикально милитаризовался: четыре первых позиции заняли атаки украинских БПЛА на НПЗ — в Рязани, Саратове, Уфе и Перми (суммарно свыше 4,6 тыс. сообщений). Бытовые сюжеты — очереди в Оренбуржье, отменённые автобусные рейсы в Удмуртии, драка на заправке в Пензе — отошли на второй план. Отдельный блок — информационные угрозы: дипфейк о бензине с участием главы Удмуртии (278) и фейковое приложение с расположением АЗС, используемое мошенниками для кражи денег (111).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00"/>
        <w:gridCol w:w="1300"/>
      </w:tblGrid>
      <w:tr>
        <w:trPr>
          <w:tblHeader/>
        </w:trPr>
        <w:tc>
          <w:tcPr>
            <w:tcW w:type="dxa" w:w="6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69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Инцидент</w:t>
            </w:r>
          </w:p>
        </w:tc>
        <w:tc>
          <w:tcPr>
            <w:tcW w:type="dxa" w:w="13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Сообщений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Украинские беспилотники ударили по НПЗ в Рязани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2 322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Саратовский НПЗ горит в результате ночной атаки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1 158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НПЗ «Башнефть-Уфанефтехим» горит в Уфе после атаки БПЛА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767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Украинские беспилотники ударили по НПЗ в Перми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397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В Удмуртии появился дипфейк о бензине с участием главы региона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278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Неожиданные технические перерывы выматывают оренбуржцев в очередях на АЗС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173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7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Ряд автобусных рейсов отменили в Вавожском районе Удмуртии из-за отсутствия бензина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159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8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Мошенники используют фейковое приложение с расположением АЗС для кражи денег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111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9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Перевозчик отказался от маршрута в Ачинске из-за дефицита топлива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60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10</w:t>
            </w:r>
          </w:p>
        </w:tc>
        <w:tc>
          <w:tcPr>
            <w:tcW w:type="dxa" w:w="6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Драку из-за места в очереди на заправку в Пензе пришлось разнимать росгвардейцам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54</w:t>
            </w:r>
          </w:p>
        </w:tc>
      </w:tr>
    </w:tbl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По числу сообщений. Данные: система мониторинга Крибрум.</w:t>
      </w:r>
    </w:p>
    <w:p>
      <w:r>
        <w:br w:type="page"/>
      </w:r>
    </w:p>
    <w:p>
      <w:pPr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4. Реакция парламентских партий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Недельный партийный рейтинг претерпел первую с начала кризиса смену лидера: «Справедливая Россия — За правду» обошла «Единую Россию», а «Новые Люди» совершили кратный скачок на непрофильной повестке.</w:t>
      </w:r>
    </w:p>
    <w:tbl>
      <w:tblPr>
        <w:tblW w:type="dxa" w:w="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400"/>
      </w:tblGrid>
      <w:tr>
        <w:trPr>
          <w:tblHeader/>
        </w:trPr>
        <w:tc>
          <w:tcPr>
            <w:tcW w:type="dxa" w:w="46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Партия</w:t>
            </w:r>
          </w:p>
        </w:tc>
        <w:tc>
          <w:tcPr>
            <w:tcW w:type="dxa" w:w="24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Упоминаний</w:t>
            </w:r>
          </w:p>
        </w:tc>
      </w:tr>
      <w:tr>
        <w:trPr>
          <w:tblHeader w:val="false"/>
        </w:trPr>
        <w:tc>
          <w:tcPr>
            <w:tcW w:type="dxa" w:w="4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«Справедливая Россия — За правду»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1 657</w:t>
            </w:r>
          </w:p>
        </w:tc>
      </w:tr>
      <w:tr>
        <w:trPr>
          <w:tblHeader w:val="false"/>
        </w:trPr>
        <w:tc>
          <w:tcPr>
            <w:tcW w:type="dxa" w:w="4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«Единая Россия»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1 493</w:t>
            </w:r>
          </w:p>
        </w:tc>
      </w:tr>
      <w:tr>
        <w:trPr>
          <w:tblHeader w:val="false"/>
        </w:trPr>
        <w:tc>
          <w:tcPr>
            <w:tcW w:type="dxa" w:w="4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КПРФ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1 314</w:t>
            </w:r>
          </w:p>
        </w:tc>
      </w:tr>
      <w:tr>
        <w:trPr>
          <w:tblHeader w:val="false"/>
        </w:trPr>
        <w:tc>
          <w:tcPr>
            <w:tcW w:type="dxa" w:w="4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ЛДПР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519</w:t>
            </w:r>
          </w:p>
        </w:tc>
      </w:tr>
      <w:tr>
        <w:trPr>
          <w:tblHeader w:val="false"/>
        </w:trPr>
        <w:tc>
          <w:tcPr>
            <w:tcW w:type="dxa" w:w="4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«Новые Люди»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513</w:t>
            </w:r>
          </w:p>
        </w:tc>
      </w:tr>
    </w:tbl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По числу сообщений за 27 июля — 2 августа. Данные: система мониторинга Крибрум.</w:t>
      </w:r>
    </w:p>
    <w:p>
      <w:pPr>
        <w:spacing w:after="120"/>
        <w:jc w:val="center"/>
      </w:pPr>
      <w:r>
        <w:drawing>
          <wp:inline distT="0" distB="0" distL="0" distR="0">
            <wp:extent cx="5810250" cy="243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График 3. Упоминания парламентских партий в контексте топливного кризиса.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«Справедливая Россия — За правду» — рывок в лидеры за счёт смены тактики.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Партия перешла от федеральных лозунгов к персонализированным региональным кейсам — очереди в Тольятти, интервью в Кирове, — что дало высокий эмоциональный отклик и виральность, особенно по группам СРЗП, в отличие от абстрактных обещаний прошлой недели. Федеральные инициативы отошли на второй план.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«Единая Россия» — потеря лидерства как «облегчение».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Партия потеряла более 3 тысяч упоминаний за неделю, однако для неё это скорее плюс: распространялся преимущественно негатив. Фон по-прежнему формирует вирусная фраза А. Исаева про «обиженных подростков»; дополнительный удар нанесли скандалы — декларация военкора Поддубного (акции Apple) и история с «водокачкой-призраком» в Зыково за 17 млн рублей. Попытки переломить повестку через волонтёрские акции на АЗС (раздача воды в Самарской области, дежурства в Забайкалье) и отчёты о стабилизации в Пскове негатив не перекрыли.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КПРФ — устойчивая вторая-третья сила с содержательной повесткой.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Активность сохраняется на высоком уровне: депутаты (Г.А. Зюганов, С.П. Обухов, В. Мархаев, Егоров) регулярно выступали с инициативами и требованиями — национализация НПЗ, введение потолка цен, маркировка бензина «Евро-3». Широко цитировались законопроекты («Две инициативы коммунистов»), а также региональные акции: пикеты, раздача воды и листовок в очередях в Липецке, Воронеже, Новосибирске. Тональность осталась обличительной, с акцентом на образ «партии народа». КПРФ — единственная партия, сочетающая законопроектную работу с системной полевой активностью в очагах кризиса.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ЛДПР — периферия дискуссии.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Партия сохранила прежний уровень упоминаемости (519). Предложение о моратории на утильсбор и локальные встречи Бута системного резонанса не создали. Партия избегала жёсткой критики власти.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«Новые Люди» — кратный рост на непрофильной повестке.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Скачок с 58 до 513 упоминаний обеспечен исключительно политическим контекстом: допуском к выборам и антивоенной риторикой. По существу топливного кризиса конкретных мер партия не предложила — рост является следствием выборной, а не экономической повестки.</w:t>
      </w:r>
    </w:p>
    <w:p>
      <w:pPr>
        <w:spacing w:after="140" w:before="240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</w:rPr>
        <w:t xml:space="preserve">Общий вывод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Неделя 27 июля — 2 августа закрепила переход топливной темы в глубокий фоновый режим: −20% по объёму и −27% по просмотрам при отсутствии признаков возобновления интереса. Одновременно изменилась внутренняя структура повестки: инцидентный ряд милитаризовался (атаки БПЛА на НПЗ дали четыре первых позиции), а региональные очаги окончательно перешли в режим быстрой ротации — лидеры прошлых недель (Якутия, Псков) обвалились, их место заняли Костромская область и Кузбасс.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Политически неделя дала два сигнала. Первый: моральное «лидерство негатива» ЕР больше не гарантирует ей первого места по объёму — персонализированные региональные кейсы СРЗП оказались виральнее. Второй: для КПРФ ниша содержательной альтернативы (национализация НПЗ, потолок цен, полевые акции в очередях) остаётся устойчивой, но требует регулярных крупных авторских выступлений первых лиц для удержания объёма. Наиболее вероятный сценарий ближайшей недели — сохранение фонового уровня 15–20 тыс. сообщений в сутки с всплесками вокруг новых атак на инфраструктуру и решений о нормировании отпуска топлива.</w:t>
      </w:r>
    </w:p>
    <w:p>
      <w:pPr>
        <w:spacing w:after="100"/>
      </w:pPr>
    </w:p>
    <w:p>
      <w:pPr>
        <w:spacing w:after="100" w:before="24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u w:val="single"/>
        </w:rPr>
        <w:t xml:space="preserve">Подготовили: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С.П. Обухов</w:t>
      </w:r>
      <w:r>
        <w:rPr>
          <w:rFonts w:ascii="Times New Roman" w:cs="Times New Roman" w:eastAsia="Times New Roman" w:hAnsi="Times New Roman"/>
          <w:i/>
          <w:iCs/>
          <w:sz w:val="28"/>
          <w:szCs w:val="28"/>
        </w:rPr>
        <w:t xml:space="preserve">, доктор политических наук, секретарь ЦК КПРФ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И.М. Куприянова</w:t>
      </w:r>
      <w:r>
        <w:rPr>
          <w:rFonts w:ascii="Times New Roman" w:cs="Times New Roman" w:eastAsia="Times New Roman" w:hAnsi="Times New Roman"/>
          <w:i/>
          <w:iCs/>
          <w:sz w:val="28"/>
          <w:szCs w:val="28"/>
        </w:rPr>
        <w:t xml:space="preserve">, заведующая Отделом ЦК КПРФ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А.М. Михальчук</w:t>
      </w:r>
      <w:r>
        <w:rPr>
          <w:rFonts w:ascii="Times New Roman" w:cs="Times New Roman" w:eastAsia="Times New Roman" w:hAnsi="Times New Roman"/>
          <w:i/>
          <w:iCs/>
          <w:sz w:val="28"/>
          <w:szCs w:val="28"/>
        </w:rPr>
        <w:t xml:space="preserve">, зам. зав. Отдела ЦК КПРФ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u w:val="single"/>
        </w:rPr>
        <w:t xml:space="preserve">Ответственный за выпуск: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С.П. Обухов</w:t>
      </w:r>
      <w:r>
        <w:rPr>
          <w:rFonts w:ascii="Times New Roman" w:cs="Times New Roman" w:eastAsia="Times New Roman" w:hAnsi="Times New Roman"/>
          <w:i/>
          <w:iCs/>
          <w:sz w:val="28"/>
          <w:szCs w:val="28"/>
        </w:rPr>
        <w:t xml:space="preserve"> — доктор политических наук, секретарь ЦК КПРФ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abde2061db9303735c3f3d490a2fb321b707232.png"/><Relationship Id="rId8" Type="http://schemas.openxmlformats.org/officeDocument/2006/relationships/image" Target="media/28eb08136d7a5c92d4f86c7ba472b441842c5fa2.jpg"/><Relationship Id="rId9" Type="http://schemas.openxmlformats.org/officeDocument/2006/relationships/image" Target="media/c7cc6b5dfcbabf2f6959c87f5184f4552d1813e0.png"/><Relationship Id="rId10" Type="http://schemas.openxmlformats.org/officeDocument/2006/relationships/image" Target="media/55048a9c4e695cd148a51efc96d36a981ad07953.png"/><Relationship Id="rId11" Type="http://schemas.openxmlformats.org/officeDocument/2006/relationships/image" Target="media/67110c99706cdaee7c07ba1d40f144c55eb6453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2026-08-03T15:04:28.627Z</dcterms:created>
  <dcterms:modified xsi:type="dcterms:W3CDTF">2026-08-03T15:04:28.627Z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