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70" w:rsidRPr="000C3270" w:rsidRDefault="000C3270" w:rsidP="000C327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«Программа Победы» КПРФ — основа спасения </w:t>
      </w:r>
      <w:proofErr w:type="spellStart"/>
      <w:r w:rsidRPr="000C32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государствообразующего</w:t>
      </w:r>
      <w:proofErr w:type="spellEnd"/>
      <w:r w:rsidRPr="000C32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русского народа. Итоги круглого стола в Госдуме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мая 2026 года фракция КПРФ в Государственной Думе провела масштабный круглый стол на тему: «Законодательное обеспечение развития русского </w:t>
      </w:r>
      <w:proofErr w:type="spellStart"/>
      <w:r w:rsidRPr="000C3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государствообразующего</w:t>
      </w:r>
      <w:proofErr w:type="spellEnd"/>
      <w:r w:rsidRPr="000C3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народа: проблемы, перспективы и роль гражданского общества в формировании желаемого образа будущего».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 xml:space="preserve">Организованное коммунистами обсуждение стало одной из наиболее содержательных парламентских дискуссий по вопросу о практическом наполнении конституционной нормы 2020 года о русском народе как </w:t>
      </w:r>
      <w:proofErr w:type="spellStart"/>
      <w:r w:rsidRPr="000C3270">
        <w:rPr>
          <w:color w:val="2A2929"/>
          <w:sz w:val="28"/>
          <w:szCs w:val="28"/>
        </w:rPr>
        <w:t>государствообразующем</w:t>
      </w:r>
      <w:proofErr w:type="spellEnd"/>
      <w:r w:rsidRPr="000C3270">
        <w:rPr>
          <w:color w:val="2A2929"/>
          <w:sz w:val="28"/>
          <w:szCs w:val="28"/>
        </w:rPr>
        <w:t>. В центре внимания оказались проблемы демографии, пространственного развития, миграционной политики, кризиса русской провинции, социальной инфраструктуры, культуры, образования и механизмов законодательного обеспечения национального развития.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Участникам круглого стола был представлен доклад Центра исследований политической культуры России для фракции КПРФ в Госдуме </w:t>
      </w:r>
      <w:r w:rsidRPr="000C3270">
        <w:rPr>
          <w:rStyle w:val="a4"/>
          <w:color w:val="2A2929"/>
          <w:sz w:val="28"/>
          <w:szCs w:val="28"/>
        </w:rPr>
        <w:t>«</w:t>
      </w:r>
      <w:r w:rsidRPr="000C3270">
        <w:rPr>
          <w:color w:val="2A2929"/>
          <w:sz w:val="28"/>
          <w:szCs w:val="28"/>
        </w:rPr>
        <w:t xml:space="preserve">О положении </w:t>
      </w:r>
      <w:proofErr w:type="spellStart"/>
      <w:r w:rsidRPr="000C3270">
        <w:rPr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color w:val="2A2929"/>
          <w:sz w:val="28"/>
          <w:szCs w:val="28"/>
        </w:rPr>
        <w:t xml:space="preserve"> русского народа в Российской Федерации. 2026</w:t>
      </w:r>
      <w:r w:rsidRPr="000C3270">
        <w:rPr>
          <w:rStyle w:val="a5"/>
          <w:color w:val="2A2929"/>
          <w:sz w:val="28"/>
          <w:szCs w:val="28"/>
        </w:rPr>
        <w:t>»</w:t>
      </w:r>
      <w:r w:rsidRPr="000C3270">
        <w:rPr>
          <w:color w:val="2A2929"/>
          <w:sz w:val="28"/>
          <w:szCs w:val="28"/>
        </w:rPr>
        <w:t>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rStyle w:val="a5"/>
          <w:color w:val="2A2929"/>
          <w:sz w:val="28"/>
          <w:szCs w:val="28"/>
        </w:rPr>
        <w:t xml:space="preserve">«Программа Победы» КПРФ — основа спасения </w:t>
      </w:r>
      <w:proofErr w:type="spellStart"/>
      <w:r w:rsidRPr="000C3270">
        <w:rPr>
          <w:rStyle w:val="a5"/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rStyle w:val="a5"/>
          <w:color w:val="2A2929"/>
          <w:sz w:val="28"/>
          <w:szCs w:val="28"/>
        </w:rPr>
        <w:t xml:space="preserve"> русского народа. Итоги круглого стола в Госдуме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С программным сообщением выступил лидер КПРФ и государственно-патриотических сил, доктор философских наук </w:t>
      </w:r>
      <w:r w:rsidRPr="000C3270">
        <w:rPr>
          <w:rStyle w:val="a5"/>
          <w:color w:val="2A2929"/>
          <w:sz w:val="28"/>
          <w:szCs w:val="28"/>
        </w:rPr>
        <w:t>Геннадий Андреевич Зюганов.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rStyle w:val="a5"/>
          <w:color w:val="2A2929"/>
          <w:sz w:val="28"/>
          <w:szCs w:val="28"/>
        </w:rPr>
        <w:t>Доклад ЦИПКР </w:t>
      </w:r>
      <w:r w:rsidRPr="000C3270">
        <w:rPr>
          <w:rStyle w:val="a4"/>
          <w:b/>
          <w:bCs/>
          <w:color w:val="2A2929"/>
          <w:sz w:val="28"/>
          <w:szCs w:val="28"/>
        </w:rPr>
        <w:t>«</w:t>
      </w:r>
      <w:r w:rsidRPr="000C3270">
        <w:rPr>
          <w:rStyle w:val="a5"/>
          <w:color w:val="2A2929"/>
          <w:sz w:val="28"/>
          <w:szCs w:val="28"/>
        </w:rPr>
        <w:t xml:space="preserve">О положении </w:t>
      </w:r>
      <w:proofErr w:type="spellStart"/>
      <w:r w:rsidRPr="000C3270">
        <w:rPr>
          <w:rStyle w:val="a5"/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rStyle w:val="a5"/>
          <w:color w:val="2A2929"/>
          <w:sz w:val="28"/>
          <w:szCs w:val="28"/>
        </w:rPr>
        <w:t xml:space="preserve"> русского народа в Российской Федерации. 2026»</w:t>
      </w:r>
      <w:r w:rsidRPr="000C3270">
        <w:rPr>
          <w:color w:val="2A2929"/>
          <w:sz w:val="28"/>
          <w:szCs w:val="28"/>
        </w:rPr>
        <w:t> представил </w:t>
      </w:r>
      <w:r w:rsidRPr="000C3270">
        <w:rPr>
          <w:rStyle w:val="a5"/>
          <w:color w:val="2A2929"/>
          <w:sz w:val="28"/>
          <w:szCs w:val="28"/>
        </w:rPr>
        <w:t>заместитель председателя Комитета Госдумы по развитию гражданского общества, вопросам общественных и религиозных объединений, один из основателей Центра исследований политической культуры России, доктор политических наук Сергей Павлович Обухов,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Ведущим круглого стола выступил координатор фракции КПРФ в Государственной Думе</w:t>
      </w:r>
      <w:r w:rsidRPr="000C3270">
        <w:rPr>
          <w:rStyle w:val="a5"/>
          <w:color w:val="2A2929"/>
          <w:sz w:val="28"/>
          <w:szCs w:val="28"/>
        </w:rPr>
        <w:t xml:space="preserve"> Николай Васильевич </w:t>
      </w:r>
      <w:proofErr w:type="spellStart"/>
      <w:r w:rsidRPr="000C3270">
        <w:rPr>
          <w:rStyle w:val="a5"/>
          <w:color w:val="2A2929"/>
          <w:sz w:val="28"/>
          <w:szCs w:val="28"/>
        </w:rPr>
        <w:t>Коломейцев</w:t>
      </w:r>
      <w:proofErr w:type="spellEnd"/>
      <w:r w:rsidRPr="000C3270">
        <w:rPr>
          <w:rStyle w:val="a5"/>
          <w:color w:val="2A2929"/>
          <w:sz w:val="28"/>
          <w:szCs w:val="28"/>
        </w:rPr>
        <w:t>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Программное выступление Геннадия Зюганова: вымирание русских областей стало вопросом национального выживания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Ключевой политический тон заседанию задал </w:t>
      </w:r>
      <w:r w:rsidRPr="000C3270">
        <w:rPr>
          <w:rStyle w:val="a5"/>
          <w:color w:val="2A2929"/>
          <w:sz w:val="28"/>
          <w:szCs w:val="28"/>
        </w:rPr>
        <w:t>Председатель ЦК КПРФ, руководитель фракции КПРФ в Государственной Думе Геннадий Андреевич Зюганов</w:t>
      </w:r>
      <w:r w:rsidRPr="000C3270">
        <w:rPr>
          <w:color w:val="2A2929"/>
          <w:sz w:val="28"/>
          <w:szCs w:val="28"/>
        </w:rPr>
        <w:t>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lastRenderedPageBreak/>
        <w:t xml:space="preserve">Выступая перед участниками, Геннадий Зюганов обратил особое внимание на катастрофические демографические тенденции. Под термином «вымирание» лидер коммунистов </w:t>
      </w:r>
      <w:proofErr w:type="gramStart"/>
      <w:r w:rsidRPr="000C3270">
        <w:rPr>
          <w:color w:val="2A2929"/>
          <w:sz w:val="28"/>
          <w:szCs w:val="28"/>
        </w:rPr>
        <w:t>понимает</w:t>
      </w:r>
      <w:proofErr w:type="gramEnd"/>
      <w:r w:rsidRPr="000C3270">
        <w:rPr>
          <w:color w:val="2A2929"/>
          <w:sz w:val="28"/>
          <w:szCs w:val="28"/>
        </w:rPr>
        <w:t xml:space="preserve"> прежде всего критические показатели естественной убыли населения, из-за которой страна ежегодно теряет сотни тысяч граждан. Политик напомнил, что из-за непрекращающегося спада с карты страны фактически целиком исчезает население целого крупного города.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 xml:space="preserve">Он заявил, что сегодня коренные русские области, включая его родную </w:t>
      </w:r>
      <w:proofErr w:type="spellStart"/>
      <w:r w:rsidRPr="000C3270">
        <w:rPr>
          <w:color w:val="2A2929"/>
          <w:sz w:val="28"/>
          <w:szCs w:val="28"/>
        </w:rPr>
        <w:t>Орловщину</w:t>
      </w:r>
      <w:proofErr w:type="spellEnd"/>
      <w:r w:rsidRPr="000C3270">
        <w:rPr>
          <w:color w:val="2A2929"/>
          <w:sz w:val="28"/>
          <w:szCs w:val="28"/>
        </w:rPr>
        <w:t>, Тулу, Тверь и Смоленск, буквально вымирают ударными темпами. Депрессивное состояние провинции заставляет людей массово бежать в мегаполисы, которые высасывают из регионов последние соки и оставляют исторические русские земли на грани деградации. По его словам, это прямо угрожает распадом всей государственной территории, поскольку именно русский народ исторически выступал цементирующим ядром великой державы.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rStyle w:val="a4"/>
          <w:color w:val="2A2929"/>
          <w:sz w:val="28"/>
          <w:szCs w:val="28"/>
        </w:rPr>
        <w:t xml:space="preserve">«Сегодня вопрос стоит предельно жестко: если продолжится </w:t>
      </w:r>
      <w:proofErr w:type="spellStart"/>
      <w:r w:rsidRPr="000C3270">
        <w:rPr>
          <w:rStyle w:val="a4"/>
          <w:color w:val="2A2929"/>
          <w:sz w:val="28"/>
          <w:szCs w:val="28"/>
        </w:rPr>
        <w:t>обезлюживание</w:t>
      </w:r>
      <w:proofErr w:type="spellEnd"/>
      <w:r w:rsidRPr="000C3270">
        <w:rPr>
          <w:rStyle w:val="a4"/>
          <w:color w:val="2A2929"/>
          <w:sz w:val="28"/>
          <w:szCs w:val="28"/>
        </w:rPr>
        <w:t xml:space="preserve"> коренной русской провинции, если будут и дальше вымываться трудовые, культурные и демографические ресурсы русских земель, это ударит по целостности России»,</w:t>
      </w:r>
      <w:r w:rsidRPr="000C3270">
        <w:rPr>
          <w:color w:val="2A2929"/>
          <w:sz w:val="28"/>
          <w:szCs w:val="28"/>
        </w:rPr>
        <w:t> — подчеркнул Геннадий Зюганов.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Лидер КПРФ потребовал жесткого регулирования миграции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Отдельно руководитель фракции поднял тему необходимости жесткого регулирования миграционных потоков в Россию. Он подчеркнул, что КПРФ уже подготовила и внесла в Государственную Думу целый ряд конкретных законодательных предложений в этой сфере. Однако, по словам Зюганова, данные инициативы последовательно блокируются парламентским большинством в лице «Единой России».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Лидер коммунистов отметил, что в вопросах контроля над иностранной рабочей силой не нужно изобретать велосипед. К</w:t>
      </w:r>
      <w:proofErr w:type="gramStart"/>
      <w:r w:rsidRPr="000C3270">
        <w:rPr>
          <w:color w:val="2A2929"/>
          <w:sz w:val="28"/>
          <w:szCs w:val="28"/>
        </w:rPr>
        <w:t>ПРФ пр</w:t>
      </w:r>
      <w:proofErr w:type="gramEnd"/>
      <w:r w:rsidRPr="000C3270">
        <w:rPr>
          <w:color w:val="2A2929"/>
          <w:sz w:val="28"/>
          <w:szCs w:val="28"/>
        </w:rPr>
        <w:t>едлагает опереться на успешный опыт ближайших союзников и внедрить те механизмы регулирования трудовой миграции, которые уже полностью оправдали себя в Белоруссии, включая жесткий целевой набор, строгую ответственность работодателей и четкий контроль за пребыванием иностранных граждан.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rStyle w:val="a4"/>
          <w:color w:val="2A2929"/>
          <w:sz w:val="28"/>
          <w:szCs w:val="28"/>
        </w:rPr>
        <w:t xml:space="preserve">«Мы давно внесли пакет предложений по наведению порядка в миграционной политике. Но парламентское большинство их блокирует, хотя речь идет о безопасности, справедливости и сохранении </w:t>
      </w:r>
      <w:proofErr w:type="spellStart"/>
      <w:r w:rsidRPr="000C3270">
        <w:rPr>
          <w:rStyle w:val="a4"/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rStyle w:val="a4"/>
          <w:color w:val="2A2929"/>
          <w:sz w:val="28"/>
          <w:szCs w:val="28"/>
        </w:rPr>
        <w:t xml:space="preserve"> народа»,</w:t>
      </w:r>
      <w:r w:rsidRPr="000C3270">
        <w:rPr>
          <w:color w:val="2A2929"/>
          <w:sz w:val="28"/>
          <w:szCs w:val="28"/>
        </w:rPr>
        <w:t> — отметил Председатель ЦК КПРФ.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Историческая миссия русского народа — собирать, а не разрушать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lastRenderedPageBreak/>
        <w:t>Особое место в выступлении Геннадия Зюганова занял исторический аспект. Он напомнил, что на протяжении веков русские собрали под свои знамена более 80 народов и народностей. Однако, в отличие от западных колонизаторов, они построили государство на глубоком уважении, не разрушив и не порушив ни одной местной веры и ни одной культуры.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 xml:space="preserve">Этот тезис был принципиален для логики всего круглого стола: обсуждение статуса русского </w:t>
      </w:r>
      <w:proofErr w:type="spellStart"/>
      <w:r w:rsidRPr="000C3270">
        <w:rPr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color w:val="2A2929"/>
          <w:sz w:val="28"/>
          <w:szCs w:val="28"/>
        </w:rPr>
        <w:t xml:space="preserve"> народа велось не в противопоставлении другим народам России, а в контексте исторической миссии русского большинства как объединяющего, </w:t>
      </w:r>
      <w:proofErr w:type="spellStart"/>
      <w:r w:rsidRPr="000C3270">
        <w:rPr>
          <w:color w:val="2A2929"/>
          <w:sz w:val="28"/>
          <w:szCs w:val="28"/>
        </w:rPr>
        <w:t>цивилизационно</w:t>
      </w:r>
      <w:proofErr w:type="spellEnd"/>
      <w:r w:rsidRPr="000C3270">
        <w:rPr>
          <w:color w:val="2A2929"/>
          <w:sz w:val="28"/>
          <w:szCs w:val="28"/>
        </w:rPr>
        <w:t xml:space="preserve"> несущего начала.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rStyle w:val="a4"/>
          <w:color w:val="2A2929"/>
          <w:sz w:val="28"/>
          <w:szCs w:val="28"/>
        </w:rPr>
        <w:t>«Русские строили великую державу не как колонизаторы. Они не ломали чужие веры, не уничтожали культуры, а собирали большую страну на принципах уважения и справедливости»,</w:t>
      </w:r>
      <w:r w:rsidRPr="000C3270">
        <w:rPr>
          <w:color w:val="2A2929"/>
          <w:sz w:val="28"/>
          <w:szCs w:val="28"/>
        </w:rPr>
        <w:t> — подчеркнул Геннадий Зюганов.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Пример маршала Баграмяна: без русского стержня теряется боеспособность и государственная связность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В подтверждение ключевой роли русского стержня для выживания страны руководитель фракции привел воспоминания о своем разговоре с легендарным советским маршалом Иваном Христофоровичем Баграмяном. Полководец рассказывал Зюганову, что на фронте его первым действием при приеме пополнения всегда был подсчет численности русских солдат. Если их в подразделении оказывалось меньше половины, то дивизия или полк неизбежно теряли должную боеспособность.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Ссылаясь на этот исторический опыт, лидер КПРФ констатировал, что без численного и культурного русского большинства армия и государство лишаются общего языка, единой воли и способности побеждать в критический момент.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rStyle w:val="a4"/>
          <w:color w:val="2A2929"/>
          <w:sz w:val="28"/>
          <w:szCs w:val="28"/>
        </w:rPr>
        <w:t xml:space="preserve">«Без русского ядра невозможно обеспечить ни внутреннюю связность страны, ни ее обороноспособность, ни </w:t>
      </w:r>
      <w:proofErr w:type="spellStart"/>
      <w:r w:rsidRPr="000C3270">
        <w:rPr>
          <w:rStyle w:val="a4"/>
          <w:color w:val="2A2929"/>
          <w:sz w:val="28"/>
          <w:szCs w:val="28"/>
        </w:rPr>
        <w:t>цивилизационную</w:t>
      </w:r>
      <w:proofErr w:type="spellEnd"/>
      <w:r w:rsidRPr="000C3270">
        <w:rPr>
          <w:rStyle w:val="a4"/>
          <w:color w:val="2A2929"/>
          <w:sz w:val="28"/>
          <w:szCs w:val="28"/>
        </w:rPr>
        <w:t xml:space="preserve"> устойчивость»,</w:t>
      </w:r>
      <w:r w:rsidRPr="000C3270">
        <w:rPr>
          <w:color w:val="2A2929"/>
          <w:sz w:val="28"/>
          <w:szCs w:val="28"/>
        </w:rPr>
        <w:t> — заявил Геннадий Зюганов.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 xml:space="preserve">Сергей Обухов представил доклад ЦИПКР о положении </w:t>
      </w:r>
      <w:proofErr w:type="spellStart"/>
      <w:r w:rsidRPr="000C3270">
        <w:rPr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color w:val="2A2929"/>
          <w:sz w:val="28"/>
          <w:szCs w:val="28"/>
        </w:rPr>
        <w:t xml:space="preserve"> русского народа: конституционная норма требует реального законодательного наполнения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Доклад ЦИПКР на круглом столе представил </w:t>
      </w:r>
      <w:r w:rsidRPr="000C3270">
        <w:rPr>
          <w:rStyle w:val="a5"/>
          <w:color w:val="2A2929"/>
          <w:sz w:val="28"/>
          <w:szCs w:val="28"/>
        </w:rPr>
        <w:t>Сергей Павлович Обухов</w:t>
      </w:r>
      <w:r w:rsidRPr="000C3270">
        <w:rPr>
          <w:color w:val="2A2929"/>
          <w:sz w:val="28"/>
          <w:szCs w:val="28"/>
        </w:rPr>
        <w:t> — депутат Государственной Думы, доктор политических наук, один из основателей Центра исследований политической культуры России (ЦИПКР). Он представил ключевые выводы обширного исследования </w:t>
      </w:r>
      <w:r w:rsidRPr="000C3270">
        <w:rPr>
          <w:rStyle w:val="a5"/>
          <w:color w:val="2A2929"/>
          <w:sz w:val="28"/>
          <w:szCs w:val="28"/>
        </w:rPr>
        <w:t xml:space="preserve">«О положении русского </w:t>
      </w:r>
      <w:proofErr w:type="spellStart"/>
      <w:r w:rsidRPr="000C3270">
        <w:rPr>
          <w:rStyle w:val="a5"/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rStyle w:val="a5"/>
          <w:color w:val="2A2929"/>
          <w:sz w:val="28"/>
          <w:szCs w:val="28"/>
        </w:rPr>
        <w:t xml:space="preserve"> народа в Российской Федерации. 2026»</w:t>
      </w:r>
      <w:r w:rsidRPr="000C3270">
        <w:rPr>
          <w:color w:val="2A2929"/>
          <w:sz w:val="28"/>
          <w:szCs w:val="28"/>
        </w:rPr>
        <w:t>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lastRenderedPageBreak/>
        <w:t xml:space="preserve">В центре доклада — принципиальный вывод: закрепление в Конституции статуса русского народа как </w:t>
      </w:r>
      <w:proofErr w:type="spellStart"/>
      <w:r w:rsidRPr="000C3270">
        <w:rPr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color w:val="2A2929"/>
          <w:sz w:val="28"/>
          <w:szCs w:val="28"/>
        </w:rPr>
        <w:t xml:space="preserve"> пока не получило необходимого развития в федеральном законодательстве, стратегическом планировании и механизмах государственной политики.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rStyle w:val="a4"/>
          <w:color w:val="2A2929"/>
          <w:sz w:val="28"/>
          <w:szCs w:val="28"/>
        </w:rPr>
        <w:t xml:space="preserve">«Сегодня необходимо перевести конституционное признание русского народа как </w:t>
      </w:r>
      <w:proofErr w:type="spellStart"/>
      <w:r w:rsidRPr="000C3270">
        <w:rPr>
          <w:rStyle w:val="a4"/>
          <w:color w:val="2A2929"/>
          <w:sz w:val="28"/>
          <w:szCs w:val="28"/>
        </w:rPr>
        <w:t>государствообразующего</w:t>
      </w:r>
      <w:proofErr w:type="spellEnd"/>
      <w:r w:rsidRPr="000C3270">
        <w:rPr>
          <w:rStyle w:val="a4"/>
          <w:color w:val="2A2929"/>
          <w:sz w:val="28"/>
          <w:szCs w:val="28"/>
        </w:rPr>
        <w:t xml:space="preserve"> из сферы деклараций в сферу реальной государственной политики»,</w:t>
      </w:r>
      <w:r w:rsidRPr="000C3270">
        <w:rPr>
          <w:color w:val="2A2929"/>
          <w:sz w:val="28"/>
          <w:szCs w:val="28"/>
        </w:rPr>
        <w:t> — подчеркнул Сергей Обухов.</w:t>
      </w:r>
    </w:p>
    <w:p w:rsidR="000C3270" w:rsidRPr="000C3270" w:rsidRDefault="000C3270" w:rsidP="000C3270">
      <w:pPr>
        <w:pStyle w:val="a3"/>
        <w:shd w:val="clear" w:color="auto" w:fill="FFFFFF"/>
        <w:spacing w:before="0" w:beforeAutospacing="0"/>
        <w:jc w:val="both"/>
        <w:rPr>
          <w:color w:val="2A2929"/>
          <w:sz w:val="28"/>
          <w:szCs w:val="28"/>
        </w:rPr>
      </w:pPr>
      <w:r w:rsidRPr="000C3270">
        <w:rPr>
          <w:color w:val="2A2929"/>
          <w:sz w:val="28"/>
          <w:szCs w:val="28"/>
        </w:rPr>
        <w:t>Ключевые цифры и выводы доклада ЦИПКР: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44 региона «русского ядра»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(доля русских свыше 90%) концентрируют 73,44% всех русских страны.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За постсоветский период (1991–2025 гг.)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потери русского населения только на территории Российской Федерации составили от 13 до 15 </w:t>
      </w:r>
      <w:proofErr w:type="spellStart"/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человек — сопоставимо с крупнейшими трагедиями XX века, но невоенного характера.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Суммарный коэффициент рождаемости в русском ядре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в 2024 году — 1,28 (на 8,8% ниже общероссийского).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Ленинградской области — рекордно низкие 0,888.</w:t>
      </w:r>
      <w:proofErr w:type="gramEnd"/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proofErr w:type="gram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Сеть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ФАПов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в русском ядре сократилась на 21,7% (5 317 пунктов), в Псковской области — на 51,2%. Численность бюджетных медработников упала на 27,8%. В результате этого ошибочного управленческого решения даже образовались очаги р</w:t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егионов «двойного поражения»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(Архангельская, Курганская, Ивановская, Костромская области, Алтайский и Забайкальский края), которые демонстрируют рост смертности на фоне максимальных сокращений медицины и ее доступности.</w:t>
      </w:r>
      <w:proofErr w:type="gramEnd"/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Расходы на еду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выросли до 39–42% доходов семьи — уровень беднейших стран Африки (в СССР в 1990 г. — 28,9%). При всем продовольственном изобилии на полках остается проблема финансовой доступности качественных продуктов и острейших последствий несбалансированного питания и продуктовых фальсификатов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Без Москвы и Санкт-Петербурга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остальное русское ядро отстаёт от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средних</w:t>
      </w:r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по стране по зарплате на 27,9%.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Доля русских в списке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Forbes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50% при демографическом весе 80%, в капитале — 46,4%. 1% олигархов контролирует 60% частных активов.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 парламентах национальных республик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системная</w:t>
      </w:r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недопредставленность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русских. Даже там, где доминируют русские (Бурятия, Адыгея, Татарстан и др.) разрыв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недопредставленности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в депутатском корпусе от 14 до 21 п.п. При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это</w:t>
      </w:r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несмотря на депутатские запросы 14 из 27 регионов данные не предоставили, не допуская обсуждения качественных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характерисик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региональной элиты.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 xml:space="preserve">Для органов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госвласти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для управленческих решений спускаются спорные рейтинги, по которым регионы русского ядра в Центре и на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Северо-Западе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представляются как зоны чуть ли не пониженной толерантности. Как выяснилось, </w:t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Индекс национальной терпимости ВЦИОМ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на 75% отражает этническую среду,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мононациональность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регионов русского ядра, а не установки. В них 60% русских даже без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иноэтничных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контактов сохраняют доброжелательную установку в межнациональной сфере.</w:t>
      </w:r>
    </w:p>
    <w:p w:rsidR="000C3270" w:rsidRPr="000C3270" w:rsidRDefault="000C3270" w:rsidP="000C3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Прогноз ООН: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при сценарии «нулевой миграции» Россия потеряет 46,6 </w:t>
      </w:r>
      <w:proofErr w:type="spellStart"/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коренных жителей до 70 лет к 2075 году. Поэтому задача госорганов и ответственных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политичсеких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сил сделать все, чтобы этот прогноз не реализовался.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Доклад зафиксировал </w:t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возникновение самоподдерживающегося цикла упадка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: закрытие социальной инфраструктуры → отток молодёжи → падение рождаемости → старение → сжатие налоговой базы → новые сокращения.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Участники круглого стола: кризис носит системный характер и требует немедленного вмешательства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ходе экспертного обсуждения участники уделили особое внимание тому, что действующие механизмы поддержки явно недостаточны, а системный кризис в регионах исторического русского расселения требует срочного федерального законодательного вмешательства.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обсуждении доклада Г.А.Зюганова и представленного доклада ЦИПКР выступили: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br/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Юрий Васильевич Крупнов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демограф, публицист, руководитель АНО «Институт демографии, миграции и регионального развития».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Валерий Аркадьевич Алексеев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президент Международного Фонда духовного единства народов, доктор философских наук, профессор МГУ.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Михаил Николаевич Матвеев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заместитель председателя комитета по региональной политике и местному самоуправлению, доктор исторических наук, профессор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Игорь Михайлович Братищев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академик РАЕН, доктор экономических наук, профессор, один из руководителей РУСО.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митрополит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</w:t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Леонид (Леонид Эдуардович Горбачев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) — митрополит,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экс-патриарший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экзарх всея Африки.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Алексей Васильевич Воронцов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Петровская академия наук и искусств, доктор философских наук, профессор.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lastRenderedPageBreak/>
        <w:t>Денис Андреевич Парфенов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депутат Государственной Думы ФС РФ.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Владимир Геннадьевич Новиков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советник ректора РГСУ, член-корреспондент РАН.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Вячеслав Александрович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Шупер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доктор географических наук, Институт географии РАН.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Софья Сергеевна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Безменова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руководитель Центра анализа миграционных тенденций.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Игорь Валерьевич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Скурлатов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доктор политических наук, профессор Московского института национальных и религиозных отношений.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Сергей Викторович Розов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режиссер, президент фестиваля им. В.С. Розова, первый заместитель председателя Координационного совета ВСД «Русский Лад».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Валентин Иванович Карасев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доктор политических наук, доктор философских наук, кандидат исторических наук, профессор Европейского университета «Право».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Вадим Вадимович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Трухачев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кандидат исторических наук, доцент Финансового университета при Правительстве РФ.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Лариса Игоревна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Никовская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доктор социологических наук, главный научный сотрудник Института социально-политических исследований ФНИСЦ РАН.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Павел Вадимович Волков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журналист, публицист, политический обозреватель.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Валерий Алексеевич Барабанов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советник губернатора Хабаровского края, доктор исторических наук.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Андрей Витальевич Антонов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публицист, заместитель директора Института русской мысли, представитель Петровской академии наук и искусств.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Алексей Михайлович Богачев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научный сотрудник РГПУ им. А.И. Герцена.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Денис Анатольевич Буланов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депутат Саратовской областной Думы.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Александр Михайлович Сафронов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депутат Краснодарской городской Думы.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lastRenderedPageBreak/>
        <w:t>Всеволод Валерьевич Радченко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соучредитель общественно-политического движения «Севастопольская альтернатива».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Александр Владимирович Марков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журналист, писатель, первый заместитель председателя Совета по фантастической и приключенческой литературе Союза писателей России.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Среди наиболее острых проблем участники назвали: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устойчивую естественную убыль населения;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вымирание центральных русских областей;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отток населения в мегаполисы;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разрушение сельской медицины и сокращение сети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ФАПов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падение доступности качественного образования и культуры;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социально-экономическое отставание русской провинции;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неупорядоченную миграционную политику (ежегодно «прокачивается» 12–13 </w:t>
      </w:r>
      <w:proofErr w:type="spellStart"/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мигрантов, уже возникло 37 этнических анклавов);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кризис поддержки семьи и рождаемости;</w:t>
      </w:r>
    </w:p>
    <w:p w:rsidR="000C3270" w:rsidRPr="000C3270" w:rsidRDefault="000C3270" w:rsidP="000C3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отсутствие системной программы развития русского ядра России.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Участники круглого стола делали акценты на различных аспектах положения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государствообразующего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русского народа.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Демограф Юрий Крупнов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например, предупредил, что к концу столетия население РФ может сократиться до 70 </w:t>
      </w:r>
      <w:proofErr w:type="spellStart"/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человек, тогда как снаружи страну окружат «миллиардные цивилизации». Поэтому вопрос «экстраординарных» демографических мер должен встать на повестку всех российских партий, уверен ученый: «Те, кто не ставит такую задачу,— это партии вымирания и исчезновения русского народа».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«Возрождение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государствообразующего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народа — это ключевой вопрос»,— заметил </w:t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философ Валерий Алексеев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. Смысл «великорусского народа», по мнению ученого, кроется в его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пассионарности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: русский народ «жертвенен», но не из-за «какого-то мазохизма, а в силу сакральной природы». Судьба русских — вести «по правильной стороне истории» другие народы, а «без большого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мегапроекта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, направленного к высоким горизонтам» русский народ «теряет смысл своего существования». «Ему мало буржуазного комфорта и земного уюта, ему подавай что-то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потяжелее</w:t>
      </w:r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посерьезнее»,— высказался президент МФДЕН профессор Алексеев.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Представитель РУСО, академик РАЕН Игорь Братищев 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исследовал истоки русофобии на Западе. Именно за широту (как просторов, так и души), умение выживать в экстремальных условиях, желание вносить диссонанс в, «казалось бы, раз и навсегда установившуюся архитектуру глобального управления миром» и «геном самодостаточности» русских людей как раз и не любят на Западе, высказался экономист Игорь Братищев. «Главное — нас, 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>русских, не любят за нашу способность каждый раз возникать, как птица феникс, из пепла, несмотря на безвыходное положение»,— заключил он.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На важность поддержки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пассионарности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русского народа обратил внимание </w:t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доктор географических наук из </w:t>
      </w:r>
      <w:proofErr w:type="gram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ИГ РАН</w:t>
      </w:r>
      <w:proofErr w:type="gramEnd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 xml:space="preserve"> Вячеслав </w:t>
      </w:r>
      <w:proofErr w:type="spellStart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Шупер</w:t>
      </w:r>
      <w:proofErr w:type="spellEnd"/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, 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который комментируя попытки заменить освоение пространств Сибири и Дальнего востока только вахтовым методом отметил их ущербность. Только переселенческая политика дает наивысший всплеск рождаемости, отметил ученый, обобщая российский и мировой опыт пространственного развития.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Депутат Госдумы, доктор исторических наук Михаил Матвеев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отметил опасность путаницы: есть русские как нация, есть русский мир как сообщество духовно близких народов. И понятие русский мир отнюдь не отрицает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этнической</w:t>
      </w:r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русскости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Ключевые выступления круглого стола будут опубликованы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 итогам дискуссии был сделан общий вывод: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br/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игнорирование накопившихся проблем несет прямую угрозу национальной безопасности, территориальной устойчивости и историческому будущему России.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«Программа Победы» КПРФ — основа практических решений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В качестве политического и социально-экономического ответа на обозначенные вызовы участники круглого стола представили </w:t>
      </w: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«Программу Победы» КПРФ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(10 шагов «От выживания — к развитию и справедливости»). Именно она, по оценке Геннадия Зюганова и участников заседания, должна наполнить реальным содержанием статус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государствообразующего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русского народа.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«Программа Победы наполнит содержанием статус </w:t>
      </w:r>
      <w:proofErr w:type="spellStart"/>
      <w:r w:rsidRPr="000C3270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>государствообразующего</w:t>
      </w:r>
      <w:proofErr w:type="spellEnd"/>
      <w:r w:rsidRPr="000C3270">
        <w:rPr>
          <w:rFonts w:ascii="Times New Roman" w:eastAsia="Times New Roman" w:hAnsi="Times New Roman" w:cs="Times New Roman"/>
          <w:i/>
          <w:iCs/>
          <w:color w:val="2A2929"/>
          <w:sz w:val="28"/>
          <w:szCs w:val="28"/>
          <w:lang w:eastAsia="ru-RU"/>
        </w:rPr>
        <w:t xml:space="preserve"> русского народа»,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заявил Геннадий Зюганов.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Принятые рекомендации круглого стола содержат 12 блоков.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 итогам работы круглого стола подготовлен проект развёрнутых рекомендаций, сгруппированных в логике «Программы Победы».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Основные из них:</w:t>
      </w:r>
      <w:proofErr w:type="gramEnd"/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Правовая институционализация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принять федеральный закон «О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государствообразующем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русском народе», внести понятие в закон «О языках народов РФ», в указы о миграционной политике и традиционных ценностях.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lastRenderedPageBreak/>
        <w:t>Исторический опыт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разработать государственную программу верификации данных о демографических потерях русского народа и обобщения исторического опыта их преодоления.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Развитие малых городов и села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выделить русское «ядро» и «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околоядро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» как самостоятельный объект целевого государственного внимания, законодательно закрепить понятие «исторические русские регионы».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Демографическое возрождение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ввести коэффициент демографической поддержки для регионов с СКР ниже 1,3; запустить целевую программу возрождения Нечерноземья.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Защита соотечественников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переориентировать программы поддержки на реальную репатриацию оставшихся 7,5 </w:t>
      </w:r>
      <w:proofErr w:type="spellStart"/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млн</w:t>
      </w:r>
      <w:proofErr w:type="spellEnd"/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русских из стран ближнего зарубежья.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Миграционный протекционизм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целевой оргнабор («приехал — отработал — уехал»), запрет на привоз семей, выход из МОМ, денонсация Глобального договора по миграции, уголовная ответственность за «резиновые квартиры», 10-летний ценз оседлости </w:t>
      </w:r>
      <w:proofErr w:type="gram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для</w:t>
      </w:r>
      <w:proofErr w:type="gram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натурализованных.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Представительство и собственность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мониторинг этнического состава органов власти, национализация ключевых отраслей (ТЭК, банки, металлургия),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деофшоризация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пересмотр итогов приватизации 1990-х.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Продовольственный суверенитет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возврат подлинных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ГОСТов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государственное регулирование цен на товары первой необходимости, отмена НДС, борьба с эпидемией ожирения.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Социально-экономические меры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минимальная зарплата 45 тыс. рублей, запрет выселения из единственного жилья, списание ипотечного долга при рождении третьего ребёнка, ограничение платежей ЖКХ на уровне 10% дохода.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Восстановление здравоохранения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целевая федеральная программа восстановления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ФАПов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, возврат к прямому государственному финансированию (принципы Семашко), норматив доступности — 30 минут до ФАП.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Образование и культура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 — введение коэффициента «культурного наследия» для малых исторических регионов, удвоение финансирования образования, ликвидация многосменного обучения.</w:t>
      </w:r>
    </w:p>
    <w:p w:rsidR="000C3270" w:rsidRPr="000C3270" w:rsidRDefault="000C3270" w:rsidP="000C3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b/>
          <w:bCs/>
          <w:color w:val="2A2929"/>
          <w:sz w:val="28"/>
          <w:szCs w:val="28"/>
          <w:lang w:eastAsia="ru-RU"/>
        </w:rPr>
        <w:t>Традиционные ценности</w:t>
      </w: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 — отказ от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манипулятивных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индексов «толерантности» ВЦИОМ, поддержка РПЦ, дифференцированная культурная политика с учётом моноэтнической специфики регионов.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Полный текст рекомендаций будет опубликован.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Итог: от обсуждения — к законодательным решениям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lastRenderedPageBreak/>
        <w:t xml:space="preserve">Круглый стол фракции КПРФ показал, что проблема развития русского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государствообразующего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народа больше не может оставаться в тени бюрократических формул и отвлеченных дискуссий. Вопрос поставлен предельно конкретно: либо государство обеспечит системную демографическую, социальную, культурную и правовую поддержку русского ядра России, либо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деградационные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процессы будут нарастать.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Именно поэтому КПРФ настаивает на переходе от констатации кризиса — к пакету законодательных и управленческих решений, увязанных с Программой Победы.</w:t>
      </w:r>
    </w:p>
    <w:p w:rsidR="000C3270" w:rsidRPr="000C3270" w:rsidRDefault="000C3270" w:rsidP="000C32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</w:pPr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По оценке участников круглого стола, речь идет не просто о защите интересов большинства, а о сохранении исторической России, ее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цивилизационной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</w:t>
      </w:r>
      <w:proofErr w:type="spellStart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>субъектности</w:t>
      </w:r>
      <w:proofErr w:type="spellEnd"/>
      <w:r w:rsidRPr="000C3270">
        <w:rPr>
          <w:rFonts w:ascii="Times New Roman" w:eastAsia="Times New Roman" w:hAnsi="Times New Roman" w:cs="Times New Roman"/>
          <w:color w:val="2A2929"/>
          <w:sz w:val="28"/>
          <w:szCs w:val="28"/>
          <w:lang w:eastAsia="ru-RU"/>
        </w:rPr>
        <w:t xml:space="preserve"> и ее будущего.</w:t>
      </w:r>
    </w:p>
    <w:p w:rsidR="00000BF5" w:rsidRPr="008026E8" w:rsidRDefault="00000BF5" w:rsidP="008026E8">
      <w:pPr>
        <w:rPr>
          <w:rFonts w:ascii="Times New Roman" w:hAnsi="Times New Roman" w:cs="Times New Roman"/>
          <w:sz w:val="28"/>
          <w:szCs w:val="28"/>
        </w:rPr>
      </w:pPr>
    </w:p>
    <w:sectPr w:rsidR="00000BF5" w:rsidRPr="008026E8" w:rsidSect="0000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B3E"/>
    <w:multiLevelType w:val="multilevel"/>
    <w:tmpl w:val="39C4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B250F"/>
    <w:multiLevelType w:val="multilevel"/>
    <w:tmpl w:val="B4EE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90611"/>
    <w:multiLevelType w:val="multilevel"/>
    <w:tmpl w:val="B9DA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26E8"/>
    <w:rsid w:val="00000BF5"/>
    <w:rsid w:val="000C3270"/>
    <w:rsid w:val="0080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F5"/>
  </w:style>
  <w:style w:type="paragraph" w:styleId="1">
    <w:name w:val="heading 1"/>
    <w:basedOn w:val="a"/>
    <w:link w:val="10"/>
    <w:uiPriority w:val="9"/>
    <w:qFormat/>
    <w:rsid w:val="000C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3270"/>
    <w:rPr>
      <w:i/>
      <w:iCs/>
    </w:rPr>
  </w:style>
  <w:style w:type="character" w:styleId="a5">
    <w:name w:val="Strong"/>
    <w:basedOn w:val="a0"/>
    <w:uiPriority w:val="22"/>
    <w:qFormat/>
    <w:rsid w:val="000C32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2026-05-28T07:11:00Z</dcterms:created>
  <dcterms:modified xsi:type="dcterms:W3CDTF">2026-05-28T07:32:00Z</dcterms:modified>
</cp:coreProperties>
</file>