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6084570" cy="217614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0" distR="0">
            <wp:extent cx="6151245" cy="410273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709"/>
        <w:jc w:val="center"/>
        <w:rPr>
          <w:rFonts w:ascii="Times New Roman" w:hAnsi="Times New Roman" w:cs="Times New Roman"/>
          <w:i/>
          <w:i/>
          <w:iCs/>
          <w:sz w:val="40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40"/>
          <w:szCs w:val="28"/>
        </w:rPr>
        <w:t xml:space="preserve">Мониторинг инцидентов ЖКХ в России </w:t>
      </w:r>
    </w:p>
    <w:p>
      <w:pPr>
        <w:pStyle w:val="Normal"/>
        <w:ind w:firstLine="709"/>
        <w:jc w:val="center"/>
        <w:rPr>
          <w:rFonts w:ascii="Times New Roman" w:hAnsi="Times New Roman" w:cs="Times New Roman"/>
          <w:i/>
          <w:i/>
          <w:iCs/>
          <w:sz w:val="40"/>
          <w:szCs w:val="28"/>
        </w:rPr>
      </w:pPr>
      <w:r>
        <w:rPr>
          <w:rFonts w:cs="Times New Roman" w:ascii="Times New Roman" w:hAnsi="Times New Roman"/>
          <w:b/>
          <w:bCs/>
          <w:i/>
          <w:iCs/>
          <w:sz w:val="40"/>
          <w:szCs w:val="28"/>
        </w:rPr>
        <w:t>и реакция отделений КПРФ</w:t>
      </w:r>
    </w:p>
    <w:p>
      <w:pPr>
        <w:pStyle w:val="Normal"/>
        <w:ind w:firstLine="709"/>
        <w:jc w:val="center"/>
        <w:rPr>
          <w:rFonts w:ascii="Times New Roman" w:hAnsi="Times New Roman" w:cs="Times New Roman"/>
          <w:sz w:val="40"/>
          <w:szCs w:val="28"/>
          <w:u w:val="single"/>
        </w:rPr>
      </w:pPr>
      <w:r>
        <w:rPr>
          <w:rFonts w:cs="Times New Roman" w:ascii="Times New Roman" w:hAnsi="Times New Roman"/>
          <w:b/>
          <w:bCs/>
          <w:sz w:val="40"/>
          <w:szCs w:val="28"/>
          <w:u w:val="single"/>
        </w:rPr>
        <w:t>АНАЛИТИЧЕСКАЯ ЗАПИСКА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Период:</w:t>
      </w:r>
      <w:r>
        <w:rPr>
          <w:rFonts w:cs="Times New Roman" w:ascii="Times New Roman" w:hAnsi="Times New Roman"/>
          <w:sz w:val="28"/>
          <w:szCs w:val="28"/>
        </w:rPr>
        <w:t xml:space="preserve"> 03 апреля – 10 апреля 2026 г.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Подготовлено:</w:t>
      </w:r>
      <w:r>
        <w:rPr>
          <w:rFonts w:cs="Times New Roman" w:ascii="Times New Roman" w:hAnsi="Times New Roman"/>
          <w:sz w:val="28"/>
          <w:szCs w:val="28"/>
        </w:rPr>
        <w:t xml:space="preserve"> 1</w:t>
      </w:r>
      <w:r>
        <w:rPr>
          <w:rFonts w:cs="Times New Roman" w:ascii="Times New Roman" w:hAnsi="Times New Roman"/>
          <w:sz w:val="28"/>
          <w:szCs w:val="28"/>
          <w:lang w:val="en-GB"/>
        </w:rPr>
        <w:t>7</w:t>
      </w:r>
      <w:r>
        <w:rPr>
          <w:rFonts w:cs="Times New Roman" w:ascii="Times New Roman" w:hAnsi="Times New Roman"/>
          <w:sz w:val="28"/>
          <w:szCs w:val="28"/>
        </w:rPr>
        <w:t>.04.2026</w:t>
      </w:r>
    </w:p>
    <w:p>
      <w:pPr>
        <w:pStyle w:val="Normal"/>
        <w:spacing w:lineRule="auto" w:line="360" w:before="300" w:after="18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8"/>
          <w:szCs w:val="28"/>
        </w:rPr>
        <w:t>I. Резюме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Период 03–10 апреля 2026 года характеризуется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сезонной трансформацией коммунальных инцидентов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на фоне завершения отопительного периода и весеннего таяния </w:t>
      </w:r>
      <w:r>
        <w:rPr>
          <w:rFonts w:eastAsia="Times New Roman" w:cs="Times New Roman" w:ascii="Times New Roman" w:hAnsi="Times New Roman"/>
          <w:sz w:val="24"/>
          <w:szCs w:val="24"/>
          <w:lang w:val="ru-RU"/>
        </w:rPr>
        <w:t>снега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в публичной повестке окончательно закрепилось доминирование аварий водоснабжения и водоотведения, добавился целый кластер резонансных событий, связанных с преждевременным отключением отопления, а также беспрецедентный случай — 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</w:rPr>
        <w:t>массовое заражение кишечной инфекцией в Муроме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(более 50 человек), предположительно связанное с прорывом канализационного коллектора в водопроводные сети.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Ключевые изменения по сравнению с неделей 27.03–02.04:</w:t>
      </w:r>
    </w:p>
    <w:p>
      <w:pPr>
        <w:pStyle w:val="ListParagraph"/>
        <w:numPr>
          <w:ilvl w:val="0"/>
          <w:numId w:val="4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Смена лидеров рейтинга: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Новгородская область и Красноярский край, возглавлявшие предыдущий период, покинули верхнюю часть списка. Новые лидеры —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Ярославская область (индекс 20,6 — рост с 11,3)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и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Курганская область (15,2 — рост с 7,1,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более чем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 два раза)</w:t>
      </w:r>
      <w:r>
        <w:rPr>
          <w:rFonts w:eastAsia="Times New Roman"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Стремительный «взлёт» Владимирской области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индекс вырос с 2,6 до 12,1 (в 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</w:rPr>
        <w:t>4,7 раза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) — за счёт вспышки </w:t>
      </w:r>
      <w:r>
        <w:rPr>
          <w:rFonts w:eastAsia="Times New Roman" w:cs="Times New Roman" w:ascii="Times New Roman" w:hAnsi="Times New Roman"/>
          <w:sz w:val="24"/>
          <w:szCs w:val="24"/>
        </w:rPr>
        <w:t>острой кишечной инфекции (ОКИ)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в Муроме, связываемой с проблемами канализации и водопровода. Это главный информационный инцидент недели.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Рост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коммунального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кризиса в Рязанской области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(4,2 → 10,4, рост в 2,5 раза): массовые отключения воды, горячей воды на несколько дней, жалобы на непрозрачность графиков отключений.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Резкое падение активности в Красноярском крае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(13,6 → 7,3)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и ЛНР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(9,7 → 5,8) — послеаварийный спад резонанса.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Тарифный кризис сменяется «отопительным»: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доминирует новый тип недовольства —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преждевременное отключение отопления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при сохранении холодной погоды. Фиксируется минимум в 8 регионах (Белгород, Сергиев Посад, Харцызск </w:t>
      </w:r>
      <w:r>
        <w:rPr>
          <w:rFonts w:eastAsia="Times New Roman" w:cs="Times New Roman" w:ascii="Times New Roman" w:hAnsi="Times New Roman"/>
          <w:sz w:val="24"/>
          <w:szCs w:val="24"/>
        </w:rPr>
        <w:t>(</w:t>
      </w:r>
      <w:r>
        <w:rPr>
          <w:rFonts w:eastAsia="Times New Roman" w:cs="Times New Roman" w:ascii="Times New Roman" w:hAnsi="Times New Roman"/>
          <w:sz w:val="24"/>
          <w:szCs w:val="24"/>
        </w:rPr>
        <w:t>ДНР</w:t>
      </w:r>
      <w:r>
        <w:rPr>
          <w:rFonts w:eastAsia="Times New Roman" w:cs="Times New Roman" w:ascii="Times New Roman" w:hAnsi="Times New Roman"/>
          <w:sz w:val="24"/>
          <w:szCs w:val="24"/>
        </w:rPr>
        <w:t>)</w:t>
      </w:r>
      <w:r>
        <w:rPr>
          <w:rFonts w:eastAsia="Times New Roman" w:cs="Times New Roman" w:ascii="Times New Roman" w:hAnsi="Times New Roman"/>
          <w:sz w:val="24"/>
          <w:szCs w:val="24"/>
        </w:rPr>
        <w:t>, Екатеринбург, Ростовская обл., Чувашия, Марий Эл, Иркутск).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Уголовно-правовой трек укрепляется</w:t>
      </w:r>
      <w:r>
        <w:rPr>
          <w:rFonts w:eastAsia="Times New Roman" w:cs="Times New Roman" w:ascii="Times New Roman" w:hAnsi="Times New Roman"/>
          <w:sz w:val="24"/>
          <w:szCs w:val="24"/>
        </w:rPr>
        <w:t>: четыре эпизода с личным контролем председателя СК А.И. Бастрыкина и возбуждёнными делами (Красноярск — обрушение лифта с подростком, Нижний Новгород — аварийный дом, Иркутск — разрушение жилого дома, Самара — несанкционированная обрезка газопровода).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Лифтовая тема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из оперативной перешла в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системно-правовую плоскость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в Свердловской области принят закон о переносе финансирования ремонта лифтов с Фонда капремонта на графу «содержание жилья» (вступает в силу 01.09.2026). Это потенциально 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</w:rPr>
        <w:t>крупнейший тарифный ход года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в сфере ЖКХ.</w:t>
      </w:r>
    </w:p>
    <w:p>
      <w:pPr>
        <w:pStyle w:val="Normal"/>
        <w:spacing w:lineRule="auto" w:line="360" w:before="300" w:after="18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8"/>
          <w:szCs w:val="28"/>
        </w:rPr>
        <w:t>II. Сопоставительный рейтинг регионов (индекс активности)</w:t>
      </w:r>
    </w:p>
    <w:p>
      <w:pPr>
        <w:pStyle w:val="Normal"/>
        <w:spacing w:lineRule="auto" w:line="360" w:before="0" w:after="200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Ниже представлено сопоставление двух отчётных периодов по топ-20 регионов текущей недели с указанием динамики индекса активности инцидентов ЖКХ в социальных сетях (на 100 тыс. населения).</w:t>
      </w:r>
    </w:p>
    <w:tbl>
      <w:tblPr>
        <w:tblW w:w="9050" w:type="dxa"/>
        <w:jc w:val="left"/>
        <w:tblInd w:w="0" w:type="dxa"/>
        <w:tblLayout w:type="fixed"/>
        <w:tblCellMar>
          <w:top w:w="80" w:type="dxa"/>
          <w:left w:w="100" w:type="dxa"/>
          <w:bottom w:w="80" w:type="dxa"/>
          <w:right w:w="100" w:type="dxa"/>
        </w:tblCellMar>
        <w:tblLook w:firstRow="0" w:noVBand="0" w:lastRow="0" w:firstColumn="0" w:lastColumn="0" w:noHBand="0" w:val="0000"/>
      </w:tblPr>
      <w:tblGrid>
        <w:gridCol w:w="504"/>
        <w:gridCol w:w="2859"/>
        <w:gridCol w:w="1430"/>
        <w:gridCol w:w="1430"/>
        <w:gridCol w:w="1430"/>
        <w:gridCol w:w="1396"/>
      </w:tblGrid>
      <w:tr>
        <w:trPr>
          <w:tblHeader w:val="true"/>
          <w:trHeight w:val="50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D5E1EE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№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D5E1EE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Регион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D5E1EE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  <w:sz w:val="20"/>
                <w:szCs w:val="20"/>
              </w:rPr>
              <w:t>Упоминания 03–10.04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D5E1EE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  <w:sz w:val="20"/>
                <w:szCs w:val="20"/>
              </w:rPr>
              <w:t>Индекс 27.03–02.04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D5E1EE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  <w:sz w:val="20"/>
                <w:szCs w:val="20"/>
              </w:rPr>
              <w:t>Индекс 03–10.04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D5E1EE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Динамика</w:t>
            </w:r>
          </w:p>
        </w:tc>
      </w:tr>
      <w:tr>
        <w:trPr>
          <w:trHeight w:val="26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Ярославская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227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11.3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20.6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+9.3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Курганская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107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7.1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15.2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+8.1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3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</w:rPr>
              <w:t>Магаданская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15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3.2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12.1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+8.9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4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Владимирская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148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2.6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12.1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+9.5</w:t>
            </w:r>
          </w:p>
        </w:tc>
      </w:tr>
      <w:tr>
        <w:trPr>
          <w:trHeight w:val="26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5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Карелия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56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8.8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11.5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+2.7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6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Тверская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118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5.4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10.6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+5.2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Рязанская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104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4.2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10.4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+6.2</w:t>
            </w:r>
          </w:p>
        </w:tc>
      </w:tr>
      <w:tr>
        <w:trPr>
          <w:trHeight w:val="26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8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Мурманская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61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7.4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10.0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+2.6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9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Коми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66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7.0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9.9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+2.9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10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Калужская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88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5.3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8.9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+3.6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11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Курская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85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4.2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8.6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+4.4</w:t>
            </w:r>
          </w:p>
        </w:tc>
      </w:tr>
      <w:tr>
        <w:trPr>
          <w:trHeight w:val="26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12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Саратовская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191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5.7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8.6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+2.9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13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Костромская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41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8.7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7.8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▼ </w:t>
            </w:r>
            <w:r>
              <w:rPr>
                <w:rFonts w:eastAsia="Times New Roman" w:cs="Times New Roman" w:ascii="Times New Roman" w:hAnsi="Times New Roman"/>
              </w:rPr>
              <w:t>-0.9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14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Марий Эл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47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6.6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7.6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</w:rPr>
              <w:t>+1.0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15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Астраханская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65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7.3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7.4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</w:rPr>
              <w:t>+0.1</w:t>
            </w:r>
          </w:p>
        </w:tc>
      </w:tr>
      <w:tr>
        <w:trPr>
          <w:trHeight w:val="26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16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Белгородская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103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7.5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7.4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▼ </w:t>
            </w:r>
            <w:r>
              <w:rPr>
                <w:rFonts w:eastAsia="Times New Roman" w:cs="Times New Roman" w:ascii="Times New Roman" w:hAnsi="Times New Roman"/>
              </w:rPr>
              <w:t>-0.1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17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Красноярский край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191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13.6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7.3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E2EFDA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color w:val="385723"/>
              </w:rPr>
              <w:t xml:space="preserve">▼ </w:t>
            </w:r>
            <w:r>
              <w:rPr>
                <w:rFonts w:eastAsia="Times New Roman" w:cs="Times New Roman" w:ascii="Times New Roman" w:hAnsi="Times New Roman"/>
                <w:color w:val="385723"/>
              </w:rPr>
              <w:t>-6.3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18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ДНР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140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3.8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7.2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CE4D6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 xml:space="preserve">▲ </w:t>
            </w:r>
            <w:r>
              <w:rPr>
                <w:rFonts w:eastAsia="Times New Roman" w:cs="Times New Roman" w:ascii="Times New Roman" w:hAnsi="Times New Roman"/>
                <w:b/>
                <w:bCs/>
                <w:color w:val="C00000"/>
              </w:rPr>
              <w:t>+3.4</w:t>
            </w:r>
          </w:p>
        </w:tc>
      </w:tr>
      <w:tr>
        <w:trPr>
          <w:trHeight w:val="268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19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Вологодская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74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7.5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7.1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▼ </w:t>
            </w:r>
            <w:r>
              <w:rPr>
                <w:rFonts w:eastAsia="Times New Roman" w:cs="Times New Roman" w:ascii="Times New Roman" w:hAnsi="Times New Roman"/>
              </w:rPr>
              <w:t>-0.4</w:t>
            </w:r>
          </w:p>
        </w:tc>
      </w:tr>
      <w:tr>
        <w:trPr>
          <w:trHeight w:val="282" w:hRule="atLeast"/>
        </w:trPr>
        <w:tc>
          <w:tcPr>
            <w:tcW w:w="504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20</w:t>
            </w:r>
          </w:p>
        </w:tc>
        <w:tc>
          <w:tcPr>
            <w:tcW w:w="2859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rPr/>
            </w:pPr>
            <w:r>
              <w:rPr>
                <w:rFonts w:eastAsia="Times New Roman" w:cs="Times New Roman" w:ascii="Times New Roman" w:hAnsi="Times New Roman"/>
              </w:rPr>
              <w:t>Архангельская область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65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>7.7</w:t>
            </w:r>
          </w:p>
        </w:tc>
        <w:tc>
          <w:tcPr>
            <w:tcW w:w="1430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  <w:b/>
                <w:bCs/>
                <w:color w:val="1F497D"/>
              </w:rPr>
              <w:t>7.0</w:t>
            </w:r>
          </w:p>
        </w:tc>
        <w:tc>
          <w:tcPr>
            <w:tcW w:w="1396" w:type="dxa"/>
            <w:tcBorders>
              <w:top w:val="single" w:sz="4" w:space="0" w:color="8FAADC"/>
              <w:left w:val="single" w:sz="4" w:space="0" w:color="8FAADC"/>
              <w:bottom w:val="single" w:sz="4" w:space="0" w:color="8FAADC"/>
              <w:right w:val="single" w:sz="4" w:space="0" w:color="8FAADC"/>
            </w:tcBorders>
            <w:shd w:color="auto" w:fill="F2F2F2" w:val="clear"/>
          </w:tcPr>
          <w:p>
            <w:pPr>
              <w:pStyle w:val="Normal"/>
              <w:widowControl w:val="false"/>
              <w:spacing w:lineRule="auto" w:line="276"/>
              <w:jc w:val="center"/>
              <w:rPr/>
            </w:pPr>
            <w:r>
              <w:rPr>
                <w:rFonts w:eastAsia="Times New Roman" w:cs="Times New Roman" w:ascii="Times New Roman" w:hAnsi="Times New Roman"/>
              </w:rPr>
              <w:t xml:space="preserve">▼ </w:t>
            </w:r>
            <w:r>
              <w:rPr>
                <w:rFonts w:eastAsia="Times New Roman" w:cs="Times New Roman" w:ascii="Times New Roman" w:hAnsi="Times New Roman"/>
              </w:rPr>
              <w:t>-0.7</w:t>
            </w:r>
          </w:p>
        </w:tc>
      </w:tr>
    </w:tbl>
    <w:p>
      <w:pPr>
        <w:pStyle w:val="Normal"/>
        <w:spacing w:before="80" w:after="240"/>
        <w:rPr/>
      </w:pPr>
      <w:r>
        <w:rPr>
          <w:rFonts w:eastAsia="Times New Roman" w:cs="Times New Roman" w:ascii="Times New Roman" w:hAnsi="Times New Roman"/>
          <w:i/>
          <w:iCs/>
          <w:sz w:val="20"/>
          <w:szCs w:val="20"/>
        </w:rPr>
        <w:t>Примечание: красная заливка — значимый рост (≥ +2 п.), зелёная — значимое снижение (≤ –2 п.). «Новый» — регион не входил в верхнюю часть предыдущего рейтинга.</w:t>
      </w:r>
    </w:p>
    <w:p>
      <w:pPr>
        <w:pStyle w:val="Normal"/>
        <w:spacing w:lineRule="auto" w:line="360" w:before="300" w:after="18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8"/>
          <w:szCs w:val="28"/>
        </w:rPr>
        <w:t>III. Ключевые содержательные тренды недели</w:t>
      </w:r>
    </w:p>
    <w:p>
      <w:pPr>
        <w:pStyle w:val="Normal"/>
        <w:spacing w:lineRule="auto" w:line="360" w:before="200" w:after="12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6"/>
          <w:szCs w:val="26"/>
        </w:rPr>
        <w:t>3.1. Вспышка ОКИ в Муроме — главный инцидент периода</w:t>
      </w:r>
    </w:p>
    <w:p>
      <w:pPr>
        <w:pStyle w:val="Normal"/>
        <w:spacing w:lineRule="auto" w:line="360" w:before="0" w:after="100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9 апреля Управление Роспотребнадзора по Владимирской области официально подтвердило массовые обращения жителей Мурома с симптомами острой кишечной инфекции (рвота, диарея). Пострадавших — более 50 человек, расследование начато утром 8 апреля. Ведомство рекомендует использовать для питья только бутилированную или кипячёную воду.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Критически важный контекст: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жители города параллельно сообщают о 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</w:rPr>
        <w:t>прорыве городского канализационного коллектора на улице Окской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и о попадании канализационных стоков в водопроводные сети. Это превращает инцидент из локальной эпидемии в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системный кризис управления коммунальной инфраструктурой города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, с потенциалом федерального резонанса. </w:t>
      </w:r>
      <w:r>
        <w:rPr>
          <w:rFonts w:eastAsia="Times New Roman" w:cs="Times New Roman" w:ascii="Times New Roman" w:hAnsi="Times New Roman"/>
          <w:sz w:val="24"/>
          <w:szCs w:val="24"/>
          <w:u w:val="single"/>
        </w:rPr>
        <w:t>Рекомендуется сопровождение темы депутатским запросом.</w:t>
      </w:r>
    </w:p>
    <w:p>
      <w:pPr>
        <w:pStyle w:val="Normal"/>
        <w:spacing w:lineRule="auto" w:line="360" w:before="200" w:after="12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6"/>
          <w:szCs w:val="26"/>
        </w:rPr>
        <w:t>3.2. Преждевременное отключение отопления — новая доминанта повестки</w:t>
      </w:r>
    </w:p>
    <w:p>
      <w:pPr>
        <w:pStyle w:val="Normal"/>
        <w:spacing w:lineRule="auto" w:line="360" w:before="0" w:after="100"/>
        <w:ind w:firstLine="72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В отличие от предыдущих периодов, когда доминировала тема «избыточного отопления весной» (Волгоград, 27.03–02.04), текущая неделя зафиксировала противоположный «</w:t>
      </w:r>
      <w:r>
        <w:rPr>
          <w:rFonts w:eastAsia="Times New Roman" w:cs="Times New Roman" w:ascii="Times New Roman" w:hAnsi="Times New Roman"/>
          <w:sz w:val="24"/>
          <w:szCs w:val="24"/>
        </w:rPr>
        <w:t>пере</w:t>
      </w:r>
      <w:r>
        <w:rPr>
          <w:rFonts w:eastAsia="Times New Roman" w:cs="Times New Roman" w:ascii="Times New Roman" w:hAnsi="Times New Roman"/>
          <w:sz w:val="24"/>
          <w:szCs w:val="24"/>
        </w:rPr>
        <w:t>к</w:t>
      </w:r>
      <w:r>
        <w:rPr>
          <w:rFonts w:eastAsia="Times New Roman" w:cs="Times New Roman" w:ascii="Times New Roman" w:hAnsi="Times New Roman"/>
          <w:sz w:val="24"/>
          <w:szCs w:val="24"/>
        </w:rPr>
        <w:t>ос»</w:t>
      </w:r>
      <w:r>
        <w:rPr>
          <w:rFonts w:eastAsia="Times New Roman" w:cs="Times New Roman" w:ascii="Times New Roman" w:hAnsi="Times New Roman"/>
          <w:sz w:val="24"/>
          <w:szCs w:val="24"/>
        </w:rPr>
        <w:t>. На фоне возврата холодов коммунальные службы и местные администрации форсировано закрывают отопительный сезон. Зафиксированные точки напряжённости: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Белгород — раннее отключение, жалобы семьи с маленьким ребёнком; мэрия ссылается на нормативы (+8 °C пять дней);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Сергиев Посад — «батареи холодные, сырость, запах плесени»;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Харцызск (ДНР) — публичный разрыв между заявлением главы правительства ДНР А. Черткова о продлении сезона и фактическими «ледяными батареями»;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Екатеринбург — инициатива УК и ТСЖ отключить отопление «ровно тогда, когда похолодало»;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Чувашия, Марий Эл, Ростовская область, Иркутск — аналогичные жалобы.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Политический ресурс темы: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противопоставление «бумажных нормативов» и «живых обстоятельств» (холод, сырость,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замерзающие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дети), требование перерасчёта платы за недотопленные периоды зимы (кейс Таганрога — «перерасчёт» 42–48 рублей при холодных батареях два месяца —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фактически </w:t>
      </w:r>
      <w:r>
        <w:rPr>
          <w:rFonts w:eastAsia="Times New Roman" w:cs="Times New Roman" w:ascii="Times New Roman" w:hAnsi="Times New Roman"/>
          <w:sz w:val="24"/>
          <w:szCs w:val="24"/>
        </w:rPr>
        <w:t>готовый материал для видео сюжета).</w:t>
      </w:r>
    </w:p>
    <w:p>
      <w:pPr>
        <w:pStyle w:val="Normal"/>
        <w:spacing w:lineRule="auto" w:line="360" w:before="200" w:after="12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6"/>
          <w:szCs w:val="26"/>
        </w:rPr>
        <w:t>3.3. Массовые отключения водоснабжения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Саратов (9 апреля) — десятки тысяч жителей без воды из-за аварии на линии СПГЭС и остановки водопроводной насосной станции;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Курган (9 апреля) — авария на очистных сооружениях водопровода центра города, магистральный водовод 1966 года постройки (износ 60 лет), восемь микрорайонов отключены, подвоз воды в больницы и школы;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Железногорск (Курская область, 3 апреля) — весь город без холодной воды, магистраль Ø800 мм;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Рязань — массовое отключение 3 апреля (десятки домов, школы, детские сады, МФЦ, храм); плановое отключение ГВС на 4 дня 6–9 апреля;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Тутаев (Ярославская область) — город без воды с конца пятницы, горячая вода пропала утром; срыв субботника;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Великие Луки (Псковская область) — десятки домов без воды, кольцевой водовод;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Богородск (Нижегородская область) — власти публично «призывают не поддаваться панике», проблемы регулярны;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Элиста (Калмыкия), Кстово, Калуга (Чижовка и Шопино), Евпатория, Фурманов (Ивановская обл.), Благовещенск (Амурская обл.), Тырныауз (КБР), Южно-Сахалинск — локальные аварии.</w:t>
      </w:r>
    </w:p>
    <w:p>
      <w:pPr>
        <w:pStyle w:val="Normal"/>
        <w:spacing w:lineRule="auto" w:line="360" w:before="200" w:after="12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6"/>
          <w:szCs w:val="26"/>
        </w:rPr>
        <w:t>3.4. Лифтовая проблематика — правовой поворот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Свердловская область: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принят и подписан губернатором Д. Паслером закон, исключающий ремонт лифтов из перечня работ капитального ремонта с 01.09.2026. Расходы переносятся в графу «содержание жилья», что приведёт к резкому росту платежей для жильцов домов, где сломался лифт (средний ремонт — 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</w:rPr>
        <w:t>от 400 тыс. руб.</w:t>
      </w:r>
      <w:r>
        <w:rPr>
          <w:rFonts w:eastAsia="Times New Roman" w:cs="Times New Roman" w:ascii="Times New Roman" w:hAnsi="Times New Roman"/>
          <w:sz w:val="24"/>
          <w:szCs w:val="24"/>
        </w:rPr>
        <w:t>). Замена лифтов остаётся в капремонте — различие принципиальное и манипулятивное.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Прецедент федерального значения: </w:t>
      </w:r>
      <w:r>
        <w:rPr>
          <w:rFonts w:eastAsia="Times New Roman" w:cs="Times New Roman" w:ascii="Times New Roman" w:hAnsi="Times New Roman"/>
          <w:sz w:val="24"/>
          <w:szCs w:val="24"/>
        </w:rPr>
        <w:t>Красноярск, улица 1-я Хабаровская — обрушение лифта с 15-летней девочкой (госпитализирована) в доме, введённом в эксплуатацию в 2023 году по программе защиты прав дольщиков. Дом с разрушающимися несущими конструкциями, затопленным подвалом, регулярными отказами лифтов. Председатель СК А.И. Бастрыкин затребовал доклад по уголовным делам.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Москва, Люблинская 78 к. 2 — два грузовых лифта не работают с января 2026 года, пассажирский регулярно ломается;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Воронеж, ул. Лизюкова 34 — лифт 2022 года установки, семьи с детьми «застревают», УК фиксирует «небольшое количество жалоб»;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Макеевка (ДНР), Ханженково — лифт не работает длительное время, администрация не реагирует.</w:t>
      </w:r>
    </w:p>
    <w:p>
      <w:pPr>
        <w:pStyle w:val="Normal"/>
        <w:spacing w:lineRule="auto" w:line="360" w:before="200" w:after="12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6"/>
          <w:szCs w:val="26"/>
        </w:rPr>
        <w:t>3.5. Уголовно-правовой контур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Красноярск (лифт, обрушение) — контроль председателя СК;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Нижний Новгород, ул. Бакунина — аварийный дом 1917 года, прорыв водоснабжения; возбуждено уголовное дело; контроль председателя СК;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Иркутск — СК возбудил уголовное дело из-за разрушения жилого дома (отсутствие отопления), ст. 238 УК;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Санкт-Петербург, Васильевский остров, ул. Александра Грина — полиция возбудила уголовное дело по факту подделки подписей при голосовании собственников, позволившей УК неограниченно повышать тарифы; собственники подали апелляцию в </w:t>
      </w:r>
      <w:r>
        <w:rPr>
          <w:rFonts w:eastAsia="Times New Roman" w:cs="Times New Roman" w:ascii="Times New Roman" w:hAnsi="Times New Roman"/>
          <w:sz w:val="24"/>
          <w:szCs w:val="24"/>
        </w:rPr>
        <w:t>г</w:t>
      </w:r>
      <w:r>
        <w:rPr>
          <w:rFonts w:eastAsia="Times New Roman" w:cs="Times New Roman" w:ascii="Times New Roman" w:hAnsi="Times New Roman"/>
          <w:sz w:val="24"/>
          <w:szCs w:val="24"/>
        </w:rPr>
        <w:t>ор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одской </w:t>
      </w:r>
      <w:r>
        <w:rPr>
          <w:rFonts w:eastAsia="Times New Roman" w:cs="Times New Roman" w:ascii="Times New Roman" w:hAnsi="Times New Roman"/>
          <w:sz w:val="24"/>
          <w:szCs w:val="24"/>
        </w:rPr>
        <w:t>суд.</w:t>
      </w:r>
    </w:p>
    <w:p>
      <w:pPr>
        <w:pStyle w:val="Normal"/>
        <w:spacing w:lineRule="auto" w:line="360" w:before="200" w:after="12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6"/>
          <w:szCs w:val="26"/>
        </w:rPr>
        <w:t>3.6. Тарифно-платёжный блок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Тюмень — массовые жалобы на «шоковые» платежи за март, подорожание на 9,6 %, особое возмущение — счета за отопление «в тёплый март»;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Санкт-Петербург (Васильевский </w:t>
      </w:r>
      <w:r>
        <w:rPr>
          <w:rFonts w:eastAsia="Times New Roman" w:cs="Times New Roman" w:ascii="Times New Roman" w:hAnsi="Times New Roman"/>
          <w:sz w:val="24"/>
          <w:szCs w:val="24"/>
        </w:rPr>
        <w:t>остров</w:t>
      </w:r>
      <w:r>
        <w:rPr>
          <w:rFonts w:eastAsia="Times New Roman" w:cs="Times New Roman" w:ascii="Times New Roman" w:hAnsi="Times New Roman"/>
          <w:sz w:val="24"/>
          <w:szCs w:val="24"/>
        </w:rPr>
        <w:t>) — апартаменты: плата доведена до 9 тыс. руб., паркинг вырос с 980 до 3 500 руб./мес. при оспариваемом собрании собственников;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Таганрог — «перерасчёт» за холодные батареи в размере 42–48 руб. при сохранявшемся отключении почти два месяца;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Чувашия — пользователь публично возмущается: «платить 2600 в месяц, когда топят слабо».</w:t>
      </w:r>
    </w:p>
    <w:p>
      <w:pPr>
        <w:pStyle w:val="Normal"/>
        <w:spacing w:lineRule="auto" w:line="360" w:before="300" w:after="18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8"/>
          <w:szCs w:val="28"/>
        </w:rPr>
        <w:t>IV. Политико-электоральные выводы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1.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Коммунальная повестка окончательно теряет тарифно-отопительную монолитность и переходит к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многофакторной конфигурации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: вода, канализация, лифты, эпидемиологические риски. Это требует от партии не </w:t>
      </w:r>
      <w:r>
        <w:rPr>
          <w:rFonts w:eastAsia="Times New Roman" w:cs="Times New Roman" w:ascii="Times New Roman" w:hAnsi="Times New Roman"/>
          <w:sz w:val="24"/>
          <w:szCs w:val="24"/>
        </w:rPr>
        <w:t>шаблон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ной кампании, а </w:t>
      </w: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модульного набора тем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с быстрой региональной адаптацией.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2.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Свердловский закон о лифтах —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готовый повод для фракционного выступления в Государственной Думе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и для запроса Прокуратуре по оценке законности схемы (перенос расходов капитального характера на текущее содержание). Возможна постановка вопроса о тиражировании подобных законов в других регионах и о единой федеральной позиции КПРФ.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3.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Инцидент в Муроме (ОКИ + канализация) —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кейс для депутатского запроса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на имя руководителя Роспотребнадзора и Генерального прокурора с постановкой вопросов: о степени износа канализационной и водопроводной сети в городе, о выделенных на её модернизацию средствах, о персональной ответственности.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4.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Отопительный разрыв (раннее отключение при холодной погоде) — </w:t>
      </w: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универсальная тема для районных отделений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в ЕДГ-2026: конкретные адреса, конкретные семьи, конкретные деньги (перерасчёт). Низкий порог входа, высокая медийность, прямая связь с повседневной жизнью избирателя.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5. </w:t>
      </w:r>
      <w:r>
        <w:rPr>
          <w:rFonts w:eastAsia="Times New Roman" w:cs="Times New Roman" w:ascii="Times New Roman" w:hAnsi="Times New Roman"/>
          <w:sz w:val="24"/>
          <w:szCs w:val="24"/>
        </w:rPr>
        <w:t>Региональные приоритеты включения КПРФ на ближайшую неделю: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Ярославская область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— лидер индекса, Тутаев без воды на субботнике — готовый кейс;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Владимирская область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— Муром, федеральная значимость;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Курганская область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— водовод 1966 года, системный износ;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Рязанская область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— многодневные отключения ГВС;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Свердловская область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— лифтовый закон, 100% износ тепловых сетей в Сосновке (кейс НФ);</w:t>
      </w:r>
    </w:p>
    <w:p>
      <w:pPr>
        <w:pStyle w:val="ListParagraph"/>
        <w:numPr>
          <w:ilvl w:val="0"/>
          <w:numId w:val="1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Санкт-Петербург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— уголовное дело о подделке подписей собственников, вопрос гражданского контроля над УК.</w:t>
      </w:r>
    </w:p>
    <w:p>
      <w:pPr>
        <w:pStyle w:val="Normal"/>
        <w:spacing w:lineRule="auto" w:line="360" w:before="0" w:after="120"/>
        <w:ind w:firstLine="720"/>
        <w:jc w:val="both"/>
        <w:rPr/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6.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Сохраняется </w:t>
      </w:r>
      <w:r>
        <w:rPr>
          <w:rFonts w:eastAsia="Times New Roman" w:cs="Times New Roman" w:ascii="Times New Roman" w:hAnsi="Times New Roman"/>
          <w:b/>
          <w:bCs/>
          <w:color w:val="C00000"/>
          <w:sz w:val="24"/>
          <w:szCs w:val="24"/>
        </w:rPr>
        <w:t>дефицит оперативной партийной реакции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в </w:t>
      </w:r>
      <w:r>
        <w:rPr>
          <w:rFonts w:eastAsia="Times New Roman" w:cs="Times New Roman" w:ascii="Times New Roman" w:hAnsi="Times New Roman"/>
          <w:sz w:val="24"/>
          <w:szCs w:val="24"/>
        </w:rPr>
        <w:t>публичн</w:t>
      </w:r>
      <w:r>
        <w:rPr>
          <w:rFonts w:eastAsia="Times New Roman" w:cs="Times New Roman" w:ascii="Times New Roman" w:hAnsi="Times New Roman"/>
          <w:sz w:val="24"/>
          <w:szCs w:val="24"/>
        </w:rPr>
        <w:t>ых каналах на резонансные инциденты недели (Муром, Курган, Саратов, свердловский лифтовый закон). Рекомендуется закрепить за соответствующими региональными отделениями задачу по оперативному публичному включению и направлению запросов в надзорные органы с последующим освещением в партийной медиа-сети.</w:t>
      </w:r>
    </w:p>
    <w:p>
      <w:pPr>
        <w:pStyle w:val="Normal"/>
        <w:spacing w:lineRule="auto" w:line="360" w:before="300" w:after="180"/>
        <w:rPr/>
      </w:pPr>
      <w:r>
        <w:rPr>
          <w:rFonts w:eastAsia="Times New Roman" w:cs="Times New Roman" w:ascii="Times New Roman" w:hAnsi="Times New Roman"/>
          <w:b/>
          <w:bCs/>
          <w:color w:val="1F497D"/>
          <w:sz w:val="28"/>
          <w:szCs w:val="28"/>
        </w:rPr>
        <w:t>V. Рекомендации по информационной работе</w:t>
      </w:r>
    </w:p>
    <w:p>
      <w:pPr>
        <w:pStyle w:val="ListParagraph"/>
        <w:numPr>
          <w:ilvl w:val="0"/>
          <w:numId w:val="5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Подготовить серию публикаций по теме «Лифты — новый тарифный капкан» с разбором свердловского закона и прогнозом его тиражирования на 2026–2027 гг.</w:t>
      </w:r>
    </w:p>
    <w:p>
      <w:pPr>
        <w:pStyle w:val="ListParagraph"/>
        <w:numPr>
          <w:ilvl w:val="0"/>
          <w:numId w:val="2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Инициировать депутатский запрос по инциденту в Муроме (Роспотребнадзор + Генпрокуратура + Минстрой) с постановкой вопросов о санитарно-эпидемиологической защищённости систем водоснабжения в малых и средних городах </w:t>
      </w:r>
      <w:r>
        <w:rPr>
          <w:rFonts w:eastAsia="Times New Roman" w:cs="Times New Roman" w:ascii="Times New Roman" w:hAnsi="Times New Roman"/>
          <w:sz w:val="24"/>
          <w:szCs w:val="24"/>
        </w:rPr>
        <w:t>России</w:t>
      </w:r>
      <w:r>
        <w:rPr>
          <w:rFonts w:eastAsia="Times New Roman" w:cs="Times New Roman" w:ascii="Times New Roman" w:hAnsi="Times New Roman"/>
          <w:sz w:val="24"/>
          <w:szCs w:val="24"/>
        </w:rPr>
        <w:t>.</w:t>
      </w:r>
    </w:p>
    <w:p>
      <w:pPr>
        <w:pStyle w:val="ListParagraph"/>
        <w:numPr>
          <w:ilvl w:val="0"/>
          <w:numId w:val="2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Сформировать шаблон обращения граждан по перерасчёту за ранее отключённое отопление (аналог «таганрогского кейса»), распространить через региональные отделения партии и сочувствующие каналы.</w:t>
      </w:r>
    </w:p>
    <w:p>
      <w:pPr>
        <w:pStyle w:val="ListParagraph"/>
        <w:numPr>
          <w:ilvl w:val="0"/>
          <w:numId w:val="2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Подготовить отдельный аналитический материал по износу коммунальной инфраструктуры: водовод 1966 года в Кургане, дом 1917 года в Нижнем Новгороде, 100% износ теплосетей в Сосновке (Свердловская обл.) — как иллюстрации системного недофинансирования.</w:t>
      </w:r>
    </w:p>
    <w:p>
      <w:pPr>
        <w:pStyle w:val="ListParagraph"/>
        <w:numPr>
          <w:ilvl w:val="0"/>
          <w:numId w:val="2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Мониторить продолжение темы с подделкой подписей собственников (Санкт-Петербург, бульвар А. Грина) — апелляция в Горсуде; </w:t>
      </w:r>
      <w:r>
        <w:rPr>
          <w:rFonts w:eastAsia="Times New Roman" w:cs="Times New Roman" w:ascii="Times New Roman" w:hAnsi="Times New Roman"/>
          <w:sz w:val="24"/>
          <w:szCs w:val="24"/>
        </w:rPr>
        <w:t>под</w:t>
      </w:r>
      <w:r>
        <w:rPr>
          <w:rFonts w:eastAsia="Times New Roman" w:cs="Times New Roman" w:ascii="Times New Roman" w:hAnsi="Times New Roman"/>
          <w:sz w:val="24"/>
          <w:szCs w:val="24"/>
        </w:rPr>
        <w:t>готовит</w:t>
      </w:r>
      <w:r>
        <w:rPr>
          <w:rFonts w:eastAsia="Times New Roman" w:cs="Times New Roman" w:ascii="Times New Roman" w:hAnsi="Times New Roman"/>
          <w:sz w:val="24"/>
          <w:szCs w:val="24"/>
        </w:rPr>
        <w:t>ь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 материал для общественной кампании по защите прав собственников от недобросовестных УК.</w:t>
      </w:r>
    </w:p>
    <w:p>
      <w:pPr>
        <w:pStyle w:val="ListParagraph"/>
        <w:numPr>
          <w:ilvl w:val="0"/>
          <w:numId w:val="2"/>
        </w:numPr>
        <w:spacing w:lineRule="auto" w:line="360" w:before="0" w:after="80"/>
        <w:jc w:val="both"/>
        <w:rPr/>
      </w:pPr>
      <w:r>
        <w:rPr>
          <w:rFonts w:eastAsia="Times New Roman" w:cs="Times New Roman" w:ascii="Times New Roman" w:hAnsi="Times New Roman"/>
          <w:sz w:val="24"/>
          <w:szCs w:val="24"/>
        </w:rPr>
        <w:t>Обеспечить оперативное партийное присутствие в новых регионах-лидерах рейтинга (Ярославская, Курганская, Владимирская, Рязанская области).</w:t>
      </w:r>
    </w:p>
    <w:p>
      <w:pPr>
        <w:pStyle w:val="Normal"/>
        <w:pBdr>
          <w:bottom w:val="single" w:sz="6" w:space="1" w:color="1F497D"/>
        </w:pBdr>
        <w:spacing w:before="240" w:after="200"/>
        <w:rPr/>
      </w:pPr>
      <w:r>
        <w:rPr/>
      </w:r>
    </w:p>
    <w:p>
      <w:pPr>
        <w:pStyle w:val="Normal"/>
        <w:ind w:firstLine="709"/>
        <w:jc w:val="both"/>
        <w:rPr>
          <w:rFonts w:ascii="Times New Roman" w:hAnsi="Times New Roman" w:cs="Times New Roman"/>
          <w:i/>
          <w:i/>
          <w:iCs/>
          <w:sz w:val="28"/>
          <w:szCs w:val="28"/>
        </w:rPr>
      </w:pPr>
      <w:r>
        <w:rPr>
          <w:rFonts w:cs="Times New Roman" w:ascii="Times New Roman" w:hAnsi="Times New Roman"/>
          <w:i/>
          <w:iCs/>
          <w:sz w:val="28"/>
          <w:szCs w:val="28"/>
        </w:rPr>
      </w:r>
    </w:p>
    <w:p>
      <w:pPr>
        <w:pStyle w:val="Normal"/>
        <w:ind w:firstLine="709"/>
        <w:jc w:val="right"/>
        <w:rPr>
          <w:rFonts w:ascii="Times New Roman" w:hAnsi="Times New Roman" w:cs="Times New Roman"/>
          <w:b/>
          <w:b/>
          <w:bCs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  <w:u w:val="single"/>
        </w:rPr>
        <w:t>Подготовили: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С.П. Обухов</w:t>
      </w:r>
      <w:r>
        <w:rPr>
          <w:rFonts w:cs="Times New Roman" w:ascii="Times New Roman" w:hAnsi="Times New Roman"/>
          <w:sz w:val="24"/>
          <w:szCs w:val="24"/>
        </w:rPr>
        <w:t>, доктор политических наук,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А.М. Михальчук</w:t>
      </w:r>
      <w:r>
        <w:rPr>
          <w:rFonts w:cs="Times New Roman" w:ascii="Times New Roman" w:hAnsi="Times New Roman"/>
          <w:sz w:val="24"/>
          <w:szCs w:val="24"/>
        </w:rPr>
        <w:t>, зам. зав. Отделом ЦК КПРФ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И.М. Куприянова</w:t>
      </w:r>
      <w:r>
        <w:rPr>
          <w:rFonts w:cs="Times New Roman" w:ascii="Times New Roman" w:hAnsi="Times New Roman"/>
          <w:sz w:val="24"/>
          <w:szCs w:val="24"/>
        </w:rPr>
        <w:t>, зав. Отделом ЦК КПРФ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Отв. за выпуск: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С.П. Обухов</w:t>
      </w:r>
      <w:r>
        <w:rPr>
          <w:rFonts w:cs="Times New Roman" w:ascii="Times New Roman" w:hAnsi="Times New Roman"/>
          <w:sz w:val="24"/>
          <w:szCs w:val="24"/>
        </w:rPr>
        <w:t>, доктор политических наук</w:t>
      </w:r>
    </w:p>
    <w:p>
      <w:pPr>
        <w:pStyle w:val="Normal"/>
        <w:ind w:firstLine="709"/>
        <w:jc w:val="right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</w:r>
    </w:p>
    <w:p>
      <w:pPr>
        <w:pStyle w:val="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pStyle w:val="Normal"/>
        <w:ind w:firstLine="709"/>
        <w:jc w:val="right"/>
        <w:rPr>
          <w:rFonts w:ascii="Times New Roman" w:hAnsi="Times New Roman" w:cs="Times New Roman"/>
          <w:b/>
          <w:b/>
          <w:bCs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>По материалам мониторинга «Крибрум»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—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</w:num>
  <w:num w:numId="5">
    <w:abstractNumId w:val="2"/>
    <w:lvlOverride w:ilvl="0">
      <w:startOverride w:val="1"/>
    </w:lvlOverride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qFormat/>
    <w:pPr>
      <w:widowControl/>
      <w:bidi w:val="0"/>
      <w:spacing w:before="240" w:after="120"/>
      <w:jc w:val="left"/>
      <w:outlineLvl w:val="0"/>
    </w:pPr>
    <w:rPr>
      <w:rFonts w:ascii="Arial" w:hAnsi="Arial" w:eastAsia="Arial" w:cs="Arial"/>
      <w:b/>
      <w:bCs/>
      <w:color w:val="1F3864"/>
      <w:kern w:val="0"/>
      <w:sz w:val="28"/>
      <w:szCs w:val="28"/>
      <w:lang w:val="ru-RU" w:eastAsia="ru-RU" w:bidi="ar-SA"/>
    </w:rPr>
  </w:style>
  <w:style w:type="paragraph" w:styleId="2">
    <w:name w:val="Heading 2"/>
    <w:qFormat/>
    <w:pPr>
      <w:widowControl/>
      <w:bidi w:val="0"/>
      <w:spacing w:before="180" w:after="80"/>
      <w:jc w:val="left"/>
      <w:outlineLvl w:val="1"/>
    </w:pPr>
    <w:rPr>
      <w:rFonts w:ascii="Arial" w:hAnsi="Arial" w:eastAsia="Arial" w:cs="Arial"/>
      <w:b/>
      <w:bCs/>
      <w:color w:val="2E75B6"/>
      <w:kern w:val="0"/>
      <w:sz w:val="24"/>
      <w:szCs w:val="24"/>
      <w:lang w:val="ru-RU" w:eastAsia="ru-RU" w:bidi="ar-SA"/>
    </w:rPr>
  </w:style>
  <w:style w:type="paragraph" w:styleId="3">
    <w:name w:val="Heading 3"/>
    <w:qFormat/>
    <w:pPr>
      <w:widowControl/>
      <w:bidi w:val="0"/>
      <w:spacing w:before="0" w:after="0"/>
      <w:jc w:val="left"/>
      <w:outlineLvl w:val="2"/>
    </w:pPr>
    <w:rPr>
      <w:rFonts w:ascii="Arial" w:hAnsi="Arial" w:eastAsia="Arial" w:cs="Arial"/>
      <w:color w:val="1F4D78"/>
      <w:kern w:val="0"/>
      <w:sz w:val="24"/>
      <w:szCs w:val="24"/>
      <w:lang w:val="ru-RU" w:eastAsia="ru-RU" w:bidi="ar-SA"/>
    </w:rPr>
  </w:style>
  <w:style w:type="paragraph" w:styleId="4">
    <w:name w:val="Heading 4"/>
    <w:qFormat/>
    <w:pPr>
      <w:widowControl/>
      <w:bidi w:val="0"/>
      <w:spacing w:before="0" w:after="0"/>
      <w:jc w:val="left"/>
      <w:outlineLvl w:val="3"/>
    </w:pPr>
    <w:rPr>
      <w:rFonts w:ascii="Arial" w:hAnsi="Arial" w:eastAsia="Arial" w:cs="Arial"/>
      <w:i/>
      <w:iCs/>
      <w:color w:val="2E74B5"/>
      <w:kern w:val="0"/>
      <w:sz w:val="22"/>
      <w:szCs w:val="22"/>
      <w:lang w:val="ru-RU" w:eastAsia="ru-RU" w:bidi="ar-SA"/>
    </w:rPr>
  </w:style>
  <w:style w:type="paragraph" w:styleId="5">
    <w:name w:val="Heading 5"/>
    <w:qFormat/>
    <w:pPr>
      <w:widowControl/>
      <w:bidi w:val="0"/>
      <w:spacing w:before="0" w:after="0"/>
      <w:jc w:val="left"/>
      <w:outlineLvl w:val="4"/>
    </w:pPr>
    <w:rPr>
      <w:rFonts w:ascii="Arial" w:hAnsi="Arial" w:eastAsia="Arial" w:cs="Arial"/>
      <w:color w:val="2E74B5"/>
      <w:kern w:val="0"/>
      <w:sz w:val="22"/>
      <w:szCs w:val="22"/>
      <w:lang w:val="ru-RU" w:eastAsia="ru-RU" w:bidi="ar-SA"/>
    </w:rPr>
  </w:style>
  <w:style w:type="paragraph" w:styleId="6">
    <w:name w:val="Heading 6"/>
    <w:qFormat/>
    <w:pPr>
      <w:widowControl/>
      <w:bidi w:val="0"/>
      <w:spacing w:before="0" w:after="0"/>
      <w:jc w:val="left"/>
      <w:outlineLvl w:val="5"/>
    </w:pPr>
    <w:rPr>
      <w:rFonts w:ascii="Arial" w:hAnsi="Arial" w:eastAsia="Arial" w:cs="Arial"/>
      <w:color w:val="1F4D78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>
    <w:name w:val="Hyperlink"/>
    <w:uiPriority w:val="99"/>
    <w:unhideWhenUsed/>
    <w:rPr>
      <w:color w:val="0563C1"/>
      <w:u w:val="single"/>
    </w:rPr>
  </w:style>
  <w:style w:type="character" w:styleId="Style9">
    <w:name w:val="Символ сноски"/>
    <w:uiPriority w:val="99"/>
    <w:semiHidden/>
    <w:unhideWhenUsed/>
    <w:qFormat/>
    <w:rPr>
      <w:vertAlign w:val="superscript"/>
    </w:rPr>
  </w:style>
  <w:style w:type="character" w:styleId="Style10">
    <w:name w:val="Footnote Reference"/>
    <w:rPr>
      <w:vertAlign w:val="superscript"/>
    </w:rPr>
  </w:style>
  <w:style w:type="character" w:styleId="Style11" w:customStyle="1">
    <w:name w:val="Текст сноски Знак"/>
    <w:uiPriority w:val="99"/>
    <w:semiHidden/>
    <w:unhideWhenUsed/>
    <w:qFormat/>
    <w:rPr>
      <w:sz w:val="20"/>
      <w:szCs w:val="20"/>
    </w:rPr>
  </w:style>
  <w:style w:type="character" w:styleId="Style12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Style13">
    <w:name w:val="Endnote Reference"/>
    <w:rPr>
      <w:vertAlign w:val="superscript"/>
    </w:rPr>
  </w:style>
  <w:style w:type="character" w:styleId="Style14" w:customStyle="1">
    <w:name w:val="Текст концевой сноски Знак"/>
    <w:uiPriority w:val="99"/>
    <w:semiHidden/>
    <w:unhideWhenUsed/>
    <w:qFormat/>
    <w:rPr>
      <w:sz w:val="20"/>
      <w:szCs w:val="20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Title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56"/>
      <w:szCs w:val="56"/>
      <w:lang w:val="ru-RU" w:eastAsia="ru-RU" w:bidi="ar-SA"/>
    </w:rPr>
  </w:style>
  <w:style w:type="paragraph" w:styleId="11" w:customStyle="1">
    <w:name w:val="Строгий1"/>
    <w:qFormat/>
    <w:pPr>
      <w:widowControl/>
      <w:bidi w:val="0"/>
      <w:spacing w:before="0" w:after="0"/>
      <w:jc w:val="left"/>
    </w:pPr>
    <w:rPr>
      <w:rFonts w:ascii="Arial" w:hAnsi="Arial" w:eastAsia="Arial" w:cs="Arial"/>
      <w:b/>
      <w:bCs/>
      <w:color w:val="auto"/>
      <w:kern w:val="0"/>
      <w:sz w:val="22"/>
      <w:szCs w:val="22"/>
      <w:lang w:val="ru-RU" w:eastAsia="ru-RU" w:bidi="ar-SA"/>
    </w:rPr>
  </w:style>
  <w:style w:type="paragraph" w:styleId="ListParagraph">
    <w:name w:val="List Paragraph"/>
    <w:qFormat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ru-RU" w:bidi="ar-SA"/>
    </w:rPr>
  </w:style>
  <w:style w:type="paragraph" w:styleId="Style21">
    <w:name w:val="Footnote Text"/>
    <w:link w:val="Style11"/>
    <w:uiPriority w:val="99"/>
    <w:semiHidden/>
    <w:unhideWhenUsed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ru-RU" w:bidi="ar-SA"/>
    </w:rPr>
  </w:style>
  <w:style w:type="paragraph" w:styleId="Style22">
    <w:name w:val="Endnote Text"/>
    <w:link w:val="Style14"/>
    <w:uiPriority w:val="99"/>
    <w:semiHidden/>
    <w:unhideWhenUsed/>
    <w:pPr>
      <w:widowControl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0"/>
      <w:szCs w:val="20"/>
      <w:lang w:val="ru-RU" w:eastAsia="ru-RU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39"/>
    <w:rsid w:val="002b62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Application>LibreOffice/7.4.7.2$Windows_X86_64 LibreOffice_project/723314e595e8007d3cf785c16538505a1c878ca5</Application>
  <AppVersion>15.0000</AppVersion>
  <Pages>8</Pages>
  <Words>1658</Words>
  <Characters>10807</Characters>
  <CharactersWithSpaces>12269</CharactersWithSpaces>
  <Paragraphs>209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2026-04-17T08:40:00Z</dcterms:created>
  <dc:creator>Un-named</dc:creator>
  <dc:description/>
  <dc:language>ru-RU</dc:language>
  <cp:lastModifiedBy/>
  <dcterms:modified xsi:type="dcterms:W3CDTF">2026-04-17T16:31:46Z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