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0FE0" w14:textId="3B4058B9" w:rsidR="00E4179B" w:rsidRPr="00642423" w:rsidRDefault="00EC2483" w:rsidP="00505EA0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695C5F">
        <w:rPr>
          <w:rFonts w:ascii="Gotham Pro Black" w:hAnsi="Gotham Pro Black" w:cs="Gotham Pro Black"/>
          <w:noProof/>
          <w:sz w:val="40"/>
          <w:szCs w:val="40"/>
        </w:rPr>
        <w:drawing>
          <wp:anchor distT="0" distB="0" distL="0" distR="0" simplePos="0" relativeHeight="2" behindDoc="0" locked="0" layoutInCell="0" allowOverlap="1" wp14:anchorId="77F18AF4" wp14:editId="4D19AA39">
            <wp:simplePos x="0" y="0"/>
            <wp:positionH relativeFrom="column">
              <wp:posOffset>-76200</wp:posOffset>
            </wp:positionH>
            <wp:positionV relativeFrom="paragraph">
              <wp:posOffset>70485</wp:posOffset>
            </wp:positionV>
            <wp:extent cx="6083935" cy="20205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4D7A">
        <w:rPr>
          <w:noProof/>
        </w:rPr>
        <w:drawing>
          <wp:inline distT="0" distB="0" distL="0" distR="0" wp14:anchorId="0034AF9E" wp14:editId="71918C12">
            <wp:extent cx="5940425" cy="3342005"/>
            <wp:effectExtent l="0" t="0" r="3175" b="0"/>
            <wp:docPr id="124478465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75F5C" w14:textId="77777777" w:rsidR="00510D0D" w:rsidRPr="00510D0D" w:rsidRDefault="00FB782F" w:rsidP="00505EA0">
      <w:pPr>
        <w:spacing w:after="0" w:line="240" w:lineRule="auto"/>
        <w:jc w:val="center"/>
        <w:rPr>
          <w:rFonts w:ascii="Gotham Pro Black" w:eastAsia="Times New Roman" w:hAnsi="Gotham Pro Black" w:cs="Gotham Pro Black"/>
          <w:b/>
          <w:bCs/>
          <w:sz w:val="36"/>
          <w:szCs w:val="36"/>
          <w:u w:val="single"/>
        </w:rPr>
      </w:pPr>
      <w:r w:rsidRPr="00510D0D">
        <w:rPr>
          <w:rFonts w:ascii="Gotham Pro Black" w:eastAsia="Times New Roman" w:hAnsi="Gotham Pro Black" w:cs="Gotham Pro Black"/>
          <w:b/>
          <w:bCs/>
          <w:sz w:val="36"/>
          <w:szCs w:val="36"/>
          <w:u w:val="single"/>
        </w:rPr>
        <w:t xml:space="preserve">О докладе АПЭК «На старте думской кампании: </w:t>
      </w:r>
    </w:p>
    <w:p w14:paraId="122211C1" w14:textId="2E9889B3" w:rsidR="00FB782F" w:rsidRPr="00510D0D" w:rsidRDefault="00FB782F" w:rsidP="00505EA0">
      <w:pPr>
        <w:spacing w:after="0" w:line="240" w:lineRule="auto"/>
        <w:jc w:val="center"/>
        <w:rPr>
          <w:rFonts w:ascii="Gotham Pro Black" w:hAnsi="Gotham Pro Black" w:cs="Gotham Pro Black"/>
          <w:b/>
          <w:bCs/>
          <w:sz w:val="36"/>
          <w:szCs w:val="36"/>
          <w:u w:val="single"/>
        </w:rPr>
      </w:pPr>
      <w:r w:rsidRPr="00510D0D">
        <w:rPr>
          <w:rFonts w:ascii="Gotham Pro Black" w:eastAsia="Times New Roman" w:hAnsi="Gotham Pro Black" w:cs="Gotham Pro Black"/>
          <w:b/>
          <w:bCs/>
          <w:sz w:val="36"/>
          <w:szCs w:val="36"/>
          <w:u w:val="single"/>
        </w:rPr>
        <w:t xml:space="preserve">базовые тренды, </w:t>
      </w:r>
      <w:r w:rsidRPr="00510D0D">
        <w:rPr>
          <w:rFonts w:ascii="Gotham Pro Black" w:hAnsi="Gotham Pro Black" w:cs="Gotham Pro Black"/>
          <w:b/>
          <w:bCs/>
          <w:sz w:val="36"/>
          <w:szCs w:val="36"/>
          <w:u w:val="single"/>
        </w:rPr>
        <w:t>«</w:t>
      </w:r>
      <w:r w:rsidRPr="00510D0D">
        <w:rPr>
          <w:rFonts w:ascii="Gotham Pro Black" w:eastAsia="Times New Roman" w:hAnsi="Gotham Pro Black" w:cs="Gotham Pro Black"/>
          <w:b/>
          <w:bCs/>
          <w:sz w:val="36"/>
          <w:szCs w:val="36"/>
          <w:u w:val="single"/>
        </w:rPr>
        <w:t>новые колеблющиеся</w:t>
      </w:r>
      <w:r w:rsidRPr="00510D0D">
        <w:rPr>
          <w:rFonts w:ascii="Gotham Pro Black" w:hAnsi="Gotham Pro Black" w:cs="Gotham Pro Black"/>
          <w:b/>
          <w:bCs/>
          <w:sz w:val="36"/>
          <w:szCs w:val="36"/>
          <w:u w:val="single"/>
        </w:rPr>
        <w:t xml:space="preserve">», </w:t>
      </w:r>
      <w:r w:rsidRPr="00510D0D">
        <w:rPr>
          <w:rFonts w:ascii="Gotham Pro Black" w:eastAsia="Times New Roman" w:hAnsi="Gotham Pro Black" w:cs="Gotham Pro Black"/>
          <w:b/>
          <w:bCs/>
          <w:sz w:val="36"/>
          <w:szCs w:val="36"/>
          <w:u w:val="single"/>
        </w:rPr>
        <w:t>предварительный прогноз</w:t>
      </w:r>
      <w:r w:rsidRPr="00510D0D">
        <w:rPr>
          <w:rFonts w:ascii="Gotham Pro Black" w:hAnsi="Gotham Pro Black" w:cs="Gotham Pro Black"/>
          <w:b/>
          <w:bCs/>
          <w:sz w:val="36"/>
          <w:szCs w:val="36"/>
          <w:u w:val="single"/>
        </w:rPr>
        <w:t>»</w:t>
      </w:r>
    </w:p>
    <w:p w14:paraId="400FD043" w14:textId="5B4FAF2F" w:rsidR="00FB782F" w:rsidRPr="004C4CCD" w:rsidRDefault="00FB782F" w:rsidP="00505EA0">
      <w:pPr>
        <w:spacing w:after="0" w:line="240" w:lineRule="auto"/>
        <w:jc w:val="center"/>
        <w:rPr>
          <w:rFonts w:ascii="Gotham Pro Black" w:hAnsi="Gotham Pro Black" w:cs="Gotham Pro Black"/>
          <w:sz w:val="32"/>
          <w:szCs w:val="32"/>
        </w:rPr>
      </w:pPr>
      <w:r w:rsidRPr="004C4CCD">
        <w:rPr>
          <w:rFonts w:ascii="Gotham Pro Black" w:eastAsia="Times New Roman" w:hAnsi="Gotham Pro Black" w:cs="Gotham Pro Black"/>
          <w:b/>
          <w:bCs/>
          <w:sz w:val="32"/>
          <w:szCs w:val="32"/>
        </w:rPr>
        <w:t>и сопряжённы</w:t>
      </w:r>
      <w:r>
        <w:rPr>
          <w:rFonts w:ascii="Gotham Pro Black" w:hAnsi="Gotham Pro Black" w:cs="Gotham Pro Black"/>
          <w:b/>
          <w:bCs/>
          <w:sz w:val="32"/>
          <w:szCs w:val="32"/>
        </w:rPr>
        <w:t>е</w:t>
      </w:r>
      <w:r w:rsidRPr="004C4CCD">
        <w:rPr>
          <w:rFonts w:ascii="Gotham Pro Black" w:eastAsia="Times New Roman" w:hAnsi="Gotham Pro Black" w:cs="Gotham Pro Black"/>
          <w:b/>
          <w:bCs/>
          <w:sz w:val="32"/>
          <w:szCs w:val="32"/>
        </w:rPr>
        <w:t xml:space="preserve"> оценк</w:t>
      </w:r>
      <w:r>
        <w:rPr>
          <w:rFonts w:ascii="Gotham Pro Black" w:hAnsi="Gotham Pro Black" w:cs="Gotham Pro Black"/>
          <w:b/>
          <w:bCs/>
          <w:sz w:val="32"/>
          <w:szCs w:val="32"/>
        </w:rPr>
        <w:t>и</w:t>
      </w:r>
      <w:r w:rsidRPr="004C4CCD">
        <w:rPr>
          <w:rFonts w:ascii="Gotham Pro Black" w:eastAsia="Times New Roman" w:hAnsi="Gotham Pro Black" w:cs="Gotham Pro Black"/>
          <w:b/>
          <w:bCs/>
          <w:sz w:val="32"/>
          <w:szCs w:val="32"/>
        </w:rPr>
        <w:t xml:space="preserve"> близких к АП </w:t>
      </w:r>
      <w:r>
        <w:rPr>
          <w:rFonts w:ascii="Gotham Pro Black" w:hAnsi="Gotham Pro Black" w:cs="Gotham Pro Black"/>
          <w:b/>
          <w:bCs/>
          <w:sz w:val="32"/>
          <w:szCs w:val="32"/>
        </w:rPr>
        <w:t xml:space="preserve">РФ </w:t>
      </w:r>
      <w:r w:rsidRPr="004C4CCD">
        <w:rPr>
          <w:rFonts w:ascii="Gotham Pro Black" w:eastAsia="Times New Roman" w:hAnsi="Gotham Pro Black" w:cs="Gotham Pro Black"/>
          <w:b/>
          <w:bCs/>
          <w:sz w:val="32"/>
          <w:szCs w:val="32"/>
        </w:rPr>
        <w:t>структур</w:t>
      </w:r>
    </w:p>
    <w:p w14:paraId="39B56831" w14:textId="77777777" w:rsidR="00FB782F" w:rsidRPr="004C4CCD" w:rsidRDefault="00FB782F" w:rsidP="00505EA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Сильные и слабые стороны прогноза в свете данных мониторинга КПРФ/ЦИПКР (апрель 2026)</w:t>
      </w:r>
    </w:p>
    <w:p w14:paraId="56DDACED" w14:textId="77777777" w:rsidR="00FE4D7A" w:rsidRPr="00A12B05" w:rsidRDefault="00FE4D7A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6AEF12" w14:textId="2F268EA5" w:rsidR="00FB782F" w:rsidRPr="004C4CCD" w:rsidRDefault="00FB782F" w:rsidP="00505EA0">
      <w:pPr>
        <w:spacing w:after="0" w:line="24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>29 апреля 2026 г. в газете «</w:t>
      </w:r>
      <w:r w:rsidRPr="00510D0D">
        <w:rPr>
          <w:rFonts w:ascii="Times New Roman" w:eastAsia="Times New Roman" w:hAnsi="Times New Roman" w:cs="Times New Roman"/>
          <w:b/>
          <w:bCs/>
          <w:sz w:val="28"/>
          <w:szCs w:val="28"/>
        </w:rPr>
        <w:t>Ведомости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</w:rPr>
        <w:t>журналист Е. Мухаметшина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) опубликована статья </w:t>
      </w:r>
      <w:r w:rsidRPr="004C4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«Политологи дали первые прогнозы результатов партий на выборах в Госдуму»,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основанная на 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закрыт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доклад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Агентства политических и экономических коммуникаций (АПЭК) </w:t>
      </w:r>
      <w:r w:rsidRPr="004C4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«На старте думской кампании: базовые тренды, „новые колеблющиеся“, предварительный прогноз». </w:t>
      </w:r>
    </w:p>
    <w:p w14:paraId="44628C7C" w14:textId="2995D3BC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Доклад подготовлен под руководством гендиректора АПЭК, члена экспертного совета «Единой России» </w:t>
      </w:r>
      <w:r w:rsidRPr="00510D0D">
        <w:rPr>
          <w:rFonts w:ascii="Times New Roman" w:eastAsia="Times New Roman" w:hAnsi="Times New Roman" w:cs="Times New Roman"/>
          <w:b/>
          <w:bCs/>
          <w:sz w:val="28"/>
          <w:szCs w:val="28"/>
        </w:rPr>
        <w:t>Д. Орлова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В той же публикации представлен альтернативный прогноз президента Фонда развития гражданского общества </w:t>
      </w:r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ФоРГО</w:t>
      </w:r>
      <w:proofErr w:type="spellEnd"/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) К. Костина.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Ранее, в марте 2026 г., близкий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АП Экспертный институт социальных исследований (ЭИСИ) провёл круглый стол с участием ВЦИОМ, на котором были представлены свои </w:t>
      </w:r>
      <w:r w:rsidR="00A12B05">
        <w:rPr>
          <w:rFonts w:ascii="Times New Roman" w:eastAsia="Times New Roman" w:hAnsi="Times New Roman" w:cs="Times New Roman"/>
          <w:sz w:val="28"/>
          <w:szCs w:val="28"/>
        </w:rPr>
        <w:t xml:space="preserve">качественные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оценки конфигурации кампании ЕДГ-2026.</w:t>
      </w:r>
    </w:p>
    <w:p w14:paraId="13B45022" w14:textId="77777777" w:rsidR="00FB782F" w:rsidRPr="00510D0D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Поскольку АПЭК, </w:t>
      </w:r>
      <w:proofErr w:type="spellStart"/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ФоРГО</w:t>
      </w:r>
      <w:proofErr w:type="spellEnd"/>
      <w:r w:rsidRPr="00510D0D">
        <w:rPr>
          <w:i/>
          <w:iCs/>
          <w:sz w:val="28"/>
          <w:szCs w:val="28"/>
          <w:u w:val="single"/>
        </w:rPr>
        <w:t>,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ЭИСИ</w:t>
      </w:r>
      <w:r w:rsidRPr="00510D0D">
        <w:rPr>
          <w:i/>
          <w:iCs/>
          <w:sz w:val="28"/>
          <w:szCs w:val="28"/>
          <w:u w:val="single"/>
        </w:rPr>
        <w:t>, ИНСОМАР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являются ключевыми экспертными площадками, формирующими публичный нарратив администрации президента о ходе думской кампании, оценка их прогнозов и </w:t>
      </w:r>
      <w:r w:rsidRPr="00510D0D">
        <w:rPr>
          <w:i/>
          <w:iCs/>
          <w:sz w:val="28"/>
          <w:szCs w:val="28"/>
          <w:u w:val="single"/>
        </w:rPr>
        <w:t>критический разбор тезисов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имеют для КПРФ принципиальное значение.</w:t>
      </w:r>
    </w:p>
    <w:p w14:paraId="5B254C03" w14:textId="77777777" w:rsidR="00FE4D7A" w:rsidRPr="00510D0D" w:rsidRDefault="00FE4D7A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772EF16" w14:textId="77777777" w:rsidR="00FB782F" w:rsidRPr="00FE4D7A" w:rsidRDefault="00FB782F" w:rsidP="00505EA0">
      <w:pPr>
        <w:pStyle w:val="2"/>
        <w:spacing w:before="0" w:after="0"/>
        <w:ind w:firstLine="709"/>
        <w:rPr>
          <w:rFonts w:ascii="Gotham Pro Black" w:hAnsi="Gotham Pro Black" w:cs="Gotham Pro Black"/>
          <w:sz w:val="28"/>
          <w:szCs w:val="28"/>
        </w:rPr>
      </w:pPr>
      <w:r w:rsidRPr="00FE4D7A">
        <w:rPr>
          <w:rFonts w:ascii="Gotham Pro Black" w:hAnsi="Gotham Pro Black" w:cs="Gotham Pro Black"/>
          <w:sz w:val="28"/>
          <w:szCs w:val="28"/>
        </w:rPr>
        <w:t>1. Краткое резюме доклада АПЭК</w:t>
      </w:r>
    </w:p>
    <w:p w14:paraId="5F4AE473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>1.1. Общая рамка и методология</w:t>
      </w:r>
    </w:p>
    <w:p w14:paraId="572AF83A" w14:textId="036988F2" w:rsidR="00FB782F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>Доклад АПЭК позиционируется</w:t>
      </w:r>
      <w:r w:rsidR="00AA7F9C" w:rsidRPr="00AA7F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как «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предварительный прогноз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», построенный на анализе базовых электоральных трендов и феномена «новых колеблющихся» — категории избирателей, формирующейся в условиях фрагментации оппозиционного фланга. Авторы исходят из посыл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о сохранении «системообразующего» статуса «Единой России», стабилизации пятипартийной модели и приоритете административно-ресурсной мобилизации над 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повестковой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конкуренцией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. Прогноз охватывает результаты по партийным спискам и одномандатным округам.</w:t>
      </w:r>
    </w:p>
    <w:p w14:paraId="0D1A8C91" w14:textId="77777777" w:rsidR="00FE4D7A" w:rsidRPr="004C4CCD" w:rsidRDefault="00FE4D7A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1AADB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 xml:space="preserve">1.2. Прогнозные коридоры </w:t>
      </w:r>
      <w:r>
        <w:rPr>
          <w:sz w:val="28"/>
          <w:szCs w:val="28"/>
        </w:rPr>
        <w:t xml:space="preserve">АПЭК </w:t>
      </w:r>
      <w:r w:rsidRPr="004C4CCD">
        <w:rPr>
          <w:sz w:val="28"/>
          <w:szCs w:val="28"/>
        </w:rPr>
        <w:t>по партийным спискам</w:t>
      </w:r>
    </w:p>
    <w:p w14:paraId="5784489B" w14:textId="77777777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По итогам выборов в Государственную Думу 20 сентября 2026 г. </w:t>
      </w:r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АПЭК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прогнозирует следующее распределение голосов:</w:t>
      </w:r>
    </w:p>
    <w:p w14:paraId="08E2533B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«Единая Россия» — 54–57%, не менее 55% при заявленной АП плановой явке 50%;</w:t>
      </w:r>
    </w:p>
    <w:p w14:paraId="6D9FA7A4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КПРФ — 13–15% (второе место);</w:t>
      </w:r>
    </w:p>
    <w:p w14:paraId="20EF3B09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ЛДПР — 11–13%;</w:t>
      </w:r>
    </w:p>
    <w:p w14:paraId="14B896DF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«Новые люди» — 6–8%;</w:t>
      </w:r>
    </w:p>
    <w:p w14:paraId="0880B13F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«Справедливая Россия — За правду» — 4–6% (на грани прохождения 5%-го барьера).</w:t>
      </w:r>
    </w:p>
    <w:p w14:paraId="4C1C7542" w14:textId="43716CA0" w:rsidR="00FB782F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D0D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Существенная коррекция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: ещё в марте 2026 г. (публикация «МК» от 14.03.2026) АПЭК давал «Единой России» коридор 40–43% против 28–33% в 2021 г., указывая лишь на «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</w:rPr>
        <w:t>укрепление представительства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». В свежей версии прогноз ЕР повышен сразу на 10–15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>. — до 54–57%. Такое резкое повышение не обосновано динамикой социологических замеров (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</w:rPr>
        <w:t>см. раздел 3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) и, по нашей оценке, отражает скорее 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 xml:space="preserve">директивную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установку АП «</w:t>
      </w:r>
      <w:r w:rsidRPr="00510D0D">
        <w:rPr>
          <w:rFonts w:ascii="Times New Roman" w:eastAsia="Times New Roman" w:hAnsi="Times New Roman" w:cs="Times New Roman"/>
          <w:i/>
          <w:iCs/>
          <w:sz w:val="28"/>
          <w:szCs w:val="28"/>
        </w:rPr>
        <w:t>не менее 55% при явке 50%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», чем эмпирические данные.</w:t>
      </w:r>
    </w:p>
    <w:p w14:paraId="6C2D740B" w14:textId="77777777" w:rsidR="00FE4D7A" w:rsidRPr="004C4CCD" w:rsidRDefault="00FE4D7A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B47BB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>1.3. Прогноз по одномандатным округам</w:t>
      </w:r>
    </w:p>
    <w:p w14:paraId="638BBA35" w14:textId="77777777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>АПЭК прогнозирует распределение 225 одномандатных мандатов следующим образом:</w:t>
      </w:r>
    </w:p>
    <w:p w14:paraId="0273650A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«Единая Россия» — 192–205 округов (85–91% от общего числа);</w:t>
      </w:r>
    </w:p>
    <w:p w14:paraId="1FF7E5AF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КПРФ — 7–10 округов;</w:t>
      </w:r>
    </w:p>
    <w:p w14:paraId="04333522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«Справедливая Россия — За правду» — 4–7 округов;</w:t>
      </w:r>
    </w:p>
    <w:p w14:paraId="3B8A1991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ЛДПР — 2–4 округа;</w:t>
      </w:r>
    </w:p>
    <w:p w14:paraId="3C039CB4" w14:textId="77777777" w:rsidR="00FB782F" w:rsidRPr="004C4CCD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t>«Новые люди» — 2–4 округа;</w:t>
      </w:r>
    </w:p>
    <w:p w14:paraId="719F74BD" w14:textId="77777777" w:rsidR="00FB782F" w:rsidRDefault="00FB782F" w:rsidP="00505EA0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C4CCD">
        <w:rPr>
          <w:sz w:val="28"/>
          <w:szCs w:val="28"/>
        </w:rPr>
        <w:lastRenderedPageBreak/>
        <w:t>Самовыдвиженцы — 4–6 округов.</w:t>
      </w:r>
    </w:p>
    <w:p w14:paraId="3AEBE78D" w14:textId="77777777" w:rsidR="00FE4D7A" w:rsidRPr="00FE4D7A" w:rsidRDefault="00FE4D7A" w:rsidP="00FE4D7A">
      <w:pPr>
        <w:jc w:val="both"/>
        <w:rPr>
          <w:sz w:val="28"/>
          <w:szCs w:val="28"/>
        </w:rPr>
      </w:pPr>
    </w:p>
    <w:p w14:paraId="0D4E5E37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>1.4. Ключевые тезисы и тематические акценты</w:t>
      </w:r>
    </w:p>
    <w:p w14:paraId="128118A8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Доклад акцентирует пять содержательных позиций. </w:t>
      </w:r>
    </w:p>
    <w:p w14:paraId="7D9BB31A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Во-первых, главным риском для оппозиции названа «дробность электората»: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рост конкуренции внутри оппозиционного поля приведёт к размыванию голосов протестных кандидатов в крупных городах, что осложнит кампании оппозиционных одномандатников, в т.ч. имевших опыт побед в 2021 г. </w:t>
      </w:r>
    </w:p>
    <w:p w14:paraId="5932F6FD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Во-вторых, постулируется ограниченный мобилизационный потенциал парламентской оппозиции «за пределами своих электоральных ниш»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(со ссылкой на опыт ЕДГ-2025). </w:t>
      </w:r>
    </w:p>
    <w:p w14:paraId="133A1C35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В-третьих, предложена сегментация ядерных электоратов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: КПРФ — старший возраст, нижние сегменты среднего класса; СРЗП — старший средний/пенсионный возраст, бюджетники, рабочие; ЛДПР — средний/молодой возраст, малые и средние города, северные регионы; «Новые люди» — молодёжь и средний класс крупных городов. </w:t>
      </w:r>
    </w:p>
    <w:p w14:paraId="3758DDFE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В-четвёртых, зафиксирована ставка на «сжатие» разрыва КПРФ–ЛДПР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предыдущими кампаниями. </w:t>
      </w:r>
    </w:p>
    <w:p w14:paraId="674930B6" w14:textId="77777777" w:rsidR="00FB782F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b/>
          <w:bCs/>
          <w:sz w:val="28"/>
          <w:szCs w:val="28"/>
        </w:rPr>
        <w:t>В-пятых, борьба «Новых людей» и СРЗП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— за четвёртое место.</w:t>
      </w:r>
    </w:p>
    <w:p w14:paraId="12B3433E" w14:textId="77777777" w:rsidR="00FE4D7A" w:rsidRPr="004C4CCD" w:rsidRDefault="00FE4D7A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EB558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 xml:space="preserve">1.5. Оценка </w:t>
      </w:r>
      <w:r>
        <w:rPr>
          <w:sz w:val="28"/>
          <w:szCs w:val="28"/>
        </w:rPr>
        <w:t xml:space="preserve">экспертами АПЭК шансов </w:t>
      </w:r>
      <w:r w:rsidRPr="004C4CCD">
        <w:rPr>
          <w:sz w:val="28"/>
          <w:szCs w:val="28"/>
        </w:rPr>
        <w:t>КПРФ и сценарий перетоков</w:t>
      </w:r>
    </w:p>
    <w:p w14:paraId="63DFDB24" w14:textId="568F8E49" w:rsidR="00FB782F" w:rsidRPr="00A12B05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>АПЭК признаёт устойчивое второе место КПРФ и допускает «перехват» партией части либерального и колеблющегося электората. Одновременн</w:t>
      </w:r>
      <w:r w:rsidR="00AA7F9C">
        <w:rPr>
          <w:rFonts w:ascii="Times New Roman" w:eastAsia="Times New Roman" w:hAnsi="Times New Roman" w:cs="Times New Roman"/>
          <w:sz w:val="28"/>
          <w:szCs w:val="28"/>
        </w:rPr>
        <w:t>о с этим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на риски: ограниченност</w:t>
      </w:r>
      <w:r w:rsidR="00AA7F9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ниши, конкуренция со стороны «Новых людей» и СРЗП за общегородской протестный сегмент. Прогноз 13–15% по списку и 7–10 округов означает в мандатах при сохранении 225+225-системы — порядка 35–42 мандатов по списку и 7–10 одномандатников, т.е. суммарно 42–52 мандата (против 57 мандатов в 2021 г.). Иными словами, АПЭК закладывает сохранение либо незначительное снижение </w:t>
      </w:r>
      <w:r w:rsidR="00510D0D">
        <w:rPr>
          <w:rFonts w:ascii="Times New Roman" w:eastAsia="Times New Roman" w:hAnsi="Times New Roman" w:cs="Times New Roman"/>
          <w:sz w:val="28"/>
          <w:szCs w:val="28"/>
        </w:rPr>
        <w:t xml:space="preserve">численности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фракции КПРФ при общем «уплотнении» парламентского большинства «Единой России».</w:t>
      </w:r>
    </w:p>
    <w:p w14:paraId="36A33945" w14:textId="77777777" w:rsidR="00FE4D7A" w:rsidRPr="00A12B05" w:rsidRDefault="00FE4D7A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6DCC1" w14:textId="11F83D22" w:rsidR="00FB782F" w:rsidRPr="00FE4D7A" w:rsidRDefault="00FB782F" w:rsidP="00505EA0">
      <w:pPr>
        <w:pStyle w:val="2"/>
        <w:spacing w:before="0" w:after="0"/>
        <w:ind w:firstLine="709"/>
        <w:rPr>
          <w:rFonts w:ascii="Gotham Pro Black" w:hAnsi="Gotham Pro Black" w:cs="Gotham Pro Black"/>
          <w:sz w:val="28"/>
          <w:szCs w:val="28"/>
        </w:rPr>
      </w:pPr>
      <w:r w:rsidRPr="00FE4D7A">
        <w:rPr>
          <w:rFonts w:ascii="Gotham Pro Black" w:hAnsi="Gotham Pro Black" w:cs="Gotham Pro Black"/>
          <w:sz w:val="28"/>
          <w:szCs w:val="28"/>
        </w:rPr>
        <w:t>2. Сравнение прогнозов АПЭК</w:t>
      </w:r>
      <w:r w:rsidR="00A12B05">
        <w:rPr>
          <w:rFonts w:ascii="Gotham Pro Black" w:hAnsi="Gotham Pro Black" w:cs="Gotham Pro Black"/>
          <w:sz w:val="28"/>
          <w:szCs w:val="28"/>
        </w:rPr>
        <w:t>,</w:t>
      </w:r>
      <w:r w:rsidRPr="00FE4D7A">
        <w:rPr>
          <w:rFonts w:ascii="Gotham Pro Black" w:hAnsi="Gotham Pro Black" w:cs="Gotham Pro Black"/>
          <w:sz w:val="28"/>
          <w:szCs w:val="28"/>
        </w:rPr>
        <w:t xml:space="preserve"> экспертов </w:t>
      </w:r>
      <w:proofErr w:type="spellStart"/>
      <w:r w:rsidR="00A12B05">
        <w:rPr>
          <w:rFonts w:ascii="Gotham Pro Black" w:hAnsi="Gotham Pro Black" w:cs="Gotham Pro Black"/>
          <w:sz w:val="28"/>
          <w:szCs w:val="28"/>
        </w:rPr>
        <w:t>ФоРГО</w:t>
      </w:r>
      <w:proofErr w:type="spellEnd"/>
      <w:r w:rsidR="00A12B05">
        <w:rPr>
          <w:rFonts w:ascii="Gotham Pro Black" w:hAnsi="Gotham Pro Black" w:cs="Gotham Pro Black"/>
          <w:sz w:val="28"/>
          <w:szCs w:val="28"/>
        </w:rPr>
        <w:t xml:space="preserve"> и ИНСОМАР</w:t>
      </w:r>
    </w:p>
    <w:p w14:paraId="3CAFA870" w14:textId="7B4DFD37" w:rsidR="00FB782F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В публичном поле сформирован консенсусный нарратив экспертных площадок, близких к АП: АПЭК (Д. Орлов),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ФоРГО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(К. Костин) </w:t>
      </w:r>
      <w:r>
        <w:rPr>
          <w:sz w:val="28"/>
          <w:szCs w:val="28"/>
        </w:rPr>
        <w:t>и ИНСОМАР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. Они дают согласованную «верхнюю» оценку результата «Единой России» и допускают сохранение пятипартийной модели, однако расходятся в конкретных коридорах поддержки и в трактовке «фактора второго места».</w:t>
      </w:r>
    </w:p>
    <w:p w14:paraId="21E6CBBF" w14:textId="2E23354E" w:rsidR="00FE4D7A" w:rsidRDefault="00FE4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9DD9FBD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lastRenderedPageBreak/>
        <w:t>2.1. Сравнительная таблица прогнозов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31"/>
        <w:gridCol w:w="2304"/>
        <w:gridCol w:w="2304"/>
        <w:gridCol w:w="2306"/>
      </w:tblGrid>
      <w:tr w:rsidR="00A12B05" w:rsidRPr="00D665D4" w14:paraId="5D7D4930" w14:textId="77777777" w:rsidTr="00A12B05">
        <w:tc>
          <w:tcPr>
            <w:tcW w:w="1300" w:type="pct"/>
          </w:tcPr>
          <w:p w14:paraId="0645E157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 / показатель</w:t>
            </w:r>
          </w:p>
        </w:tc>
        <w:tc>
          <w:tcPr>
            <w:tcW w:w="1233" w:type="pct"/>
          </w:tcPr>
          <w:p w14:paraId="41E28B9D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АПЭК (Д. Орлов, 29.04.2026)</w:t>
            </w:r>
          </w:p>
        </w:tc>
        <w:tc>
          <w:tcPr>
            <w:tcW w:w="1233" w:type="pct"/>
          </w:tcPr>
          <w:p w14:paraId="2B12EB0A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ФоРГО</w:t>
            </w:r>
            <w:proofErr w:type="spellEnd"/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(К. Костин, 29.04.2026)</w:t>
            </w:r>
          </w:p>
        </w:tc>
        <w:tc>
          <w:tcPr>
            <w:tcW w:w="1234" w:type="pct"/>
          </w:tcPr>
          <w:p w14:paraId="2E0A5576" w14:textId="22F14396" w:rsidR="00A12B05" w:rsidRPr="00D665D4" w:rsidRDefault="00A12B05" w:rsidP="00505EA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665D4">
              <w:rPr>
                <w:b/>
                <w:bCs/>
                <w:sz w:val="24"/>
                <w:szCs w:val="24"/>
              </w:rPr>
              <w:t>ИНСОМАР</w:t>
            </w:r>
            <w:r>
              <w:rPr>
                <w:b/>
                <w:bCs/>
                <w:sz w:val="24"/>
                <w:szCs w:val="24"/>
              </w:rPr>
              <w:t xml:space="preserve"> (24.04.2026)</w:t>
            </w:r>
          </w:p>
        </w:tc>
      </w:tr>
      <w:tr w:rsidR="00A12B05" w:rsidRPr="00D665D4" w14:paraId="30D0A7E3" w14:textId="77777777" w:rsidTr="00A12B05">
        <w:tc>
          <w:tcPr>
            <w:tcW w:w="1300" w:type="pct"/>
          </w:tcPr>
          <w:p w14:paraId="2A6D8E8E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«Единая Россия»</w:t>
            </w:r>
          </w:p>
        </w:tc>
        <w:tc>
          <w:tcPr>
            <w:tcW w:w="1233" w:type="pct"/>
          </w:tcPr>
          <w:p w14:paraId="4802A870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54–57%</w:t>
            </w:r>
          </w:p>
        </w:tc>
        <w:tc>
          <w:tcPr>
            <w:tcW w:w="1233" w:type="pct"/>
          </w:tcPr>
          <w:p w14:paraId="2904BC23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50%</w:t>
            </w:r>
          </w:p>
        </w:tc>
        <w:tc>
          <w:tcPr>
            <w:tcW w:w="1234" w:type="pct"/>
          </w:tcPr>
          <w:p w14:paraId="14C0502E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>
              <w:t>52-55%</w:t>
            </w:r>
          </w:p>
        </w:tc>
      </w:tr>
      <w:tr w:rsidR="00A12B05" w:rsidRPr="00D665D4" w14:paraId="2D777477" w14:textId="77777777" w:rsidTr="00A12B05">
        <w:tc>
          <w:tcPr>
            <w:tcW w:w="1300" w:type="pct"/>
          </w:tcPr>
          <w:p w14:paraId="4FC58BA0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КПРФ</w:t>
            </w:r>
          </w:p>
        </w:tc>
        <w:tc>
          <w:tcPr>
            <w:tcW w:w="1233" w:type="pct"/>
          </w:tcPr>
          <w:p w14:paraId="688A62FF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13–15%</w:t>
            </w:r>
          </w:p>
        </w:tc>
        <w:tc>
          <w:tcPr>
            <w:tcW w:w="1233" w:type="pct"/>
          </w:tcPr>
          <w:p w14:paraId="2004C3BB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12–14%</w:t>
            </w:r>
          </w:p>
        </w:tc>
        <w:tc>
          <w:tcPr>
            <w:tcW w:w="1234" w:type="pct"/>
          </w:tcPr>
          <w:p w14:paraId="2911DDD1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>
              <w:t>12-14%</w:t>
            </w:r>
          </w:p>
        </w:tc>
      </w:tr>
      <w:tr w:rsidR="00A12B05" w:rsidRPr="00D665D4" w14:paraId="18E08EA4" w14:textId="77777777" w:rsidTr="00A12B05">
        <w:tc>
          <w:tcPr>
            <w:tcW w:w="1300" w:type="pct"/>
          </w:tcPr>
          <w:p w14:paraId="5ABBD564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ЛДПР</w:t>
            </w:r>
          </w:p>
        </w:tc>
        <w:tc>
          <w:tcPr>
            <w:tcW w:w="1233" w:type="pct"/>
          </w:tcPr>
          <w:p w14:paraId="72F64733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11–13%</w:t>
            </w:r>
          </w:p>
        </w:tc>
        <w:tc>
          <w:tcPr>
            <w:tcW w:w="1233" w:type="pct"/>
          </w:tcPr>
          <w:p w14:paraId="6D16629D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9–11%</w:t>
            </w:r>
          </w:p>
        </w:tc>
        <w:tc>
          <w:tcPr>
            <w:tcW w:w="1234" w:type="pct"/>
          </w:tcPr>
          <w:p w14:paraId="2E51F2E9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>
              <w:t>10-12%</w:t>
            </w:r>
          </w:p>
        </w:tc>
      </w:tr>
      <w:tr w:rsidR="00A12B05" w:rsidRPr="00D665D4" w14:paraId="4881DC36" w14:textId="77777777" w:rsidTr="00A12B05">
        <w:tc>
          <w:tcPr>
            <w:tcW w:w="1300" w:type="pct"/>
          </w:tcPr>
          <w:p w14:paraId="79CCF3AE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«Новые люди»</w:t>
            </w:r>
          </w:p>
        </w:tc>
        <w:tc>
          <w:tcPr>
            <w:tcW w:w="1233" w:type="pct"/>
          </w:tcPr>
          <w:p w14:paraId="46AD4CB4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6–8%</w:t>
            </w:r>
          </w:p>
        </w:tc>
        <w:tc>
          <w:tcPr>
            <w:tcW w:w="1233" w:type="pct"/>
          </w:tcPr>
          <w:p w14:paraId="01645DDA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8–10%</w:t>
            </w:r>
          </w:p>
        </w:tc>
        <w:tc>
          <w:tcPr>
            <w:tcW w:w="1234" w:type="pct"/>
          </w:tcPr>
          <w:p w14:paraId="48037A91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>
              <w:t>7-8%</w:t>
            </w:r>
          </w:p>
        </w:tc>
      </w:tr>
      <w:tr w:rsidR="00A12B05" w:rsidRPr="00D665D4" w14:paraId="50DA4EDB" w14:textId="77777777" w:rsidTr="00A12B05">
        <w:tc>
          <w:tcPr>
            <w:tcW w:w="1300" w:type="pct"/>
          </w:tcPr>
          <w:p w14:paraId="38E9D271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«Справедливая Россия — За правду»</w:t>
            </w:r>
          </w:p>
        </w:tc>
        <w:tc>
          <w:tcPr>
            <w:tcW w:w="1233" w:type="pct"/>
          </w:tcPr>
          <w:p w14:paraId="7D3B162F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4–6%</w:t>
            </w:r>
          </w:p>
        </w:tc>
        <w:tc>
          <w:tcPr>
            <w:tcW w:w="1233" w:type="pct"/>
          </w:tcPr>
          <w:p w14:paraId="5ECF00CF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5–6%</w:t>
            </w:r>
          </w:p>
        </w:tc>
        <w:tc>
          <w:tcPr>
            <w:tcW w:w="1234" w:type="pct"/>
          </w:tcPr>
          <w:p w14:paraId="422642B7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>
              <w:t>5-6%</w:t>
            </w:r>
          </w:p>
        </w:tc>
      </w:tr>
      <w:tr w:rsidR="00A12B05" w:rsidRPr="00D665D4" w14:paraId="6DB98E37" w14:textId="77777777" w:rsidTr="00A12B05">
        <w:tc>
          <w:tcPr>
            <w:tcW w:w="1300" w:type="pct"/>
          </w:tcPr>
          <w:p w14:paraId="6210025F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«Единая Россия» — округа</w:t>
            </w:r>
          </w:p>
        </w:tc>
        <w:tc>
          <w:tcPr>
            <w:tcW w:w="1233" w:type="pct"/>
          </w:tcPr>
          <w:p w14:paraId="1B37D60C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192–205 из 225</w:t>
            </w:r>
          </w:p>
        </w:tc>
        <w:tc>
          <w:tcPr>
            <w:tcW w:w="1233" w:type="pct"/>
          </w:tcPr>
          <w:p w14:paraId="481B548A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конкуренция в ~20 округах</w:t>
            </w:r>
          </w:p>
        </w:tc>
        <w:tc>
          <w:tcPr>
            <w:tcW w:w="1234" w:type="pct"/>
          </w:tcPr>
          <w:p w14:paraId="65E06CC4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оценок не публикует</w:t>
            </w:r>
          </w:p>
        </w:tc>
      </w:tr>
      <w:tr w:rsidR="00A12B05" w:rsidRPr="00D665D4" w14:paraId="7BAE4563" w14:textId="77777777" w:rsidTr="00A12B05">
        <w:tc>
          <w:tcPr>
            <w:tcW w:w="1300" w:type="pct"/>
          </w:tcPr>
          <w:p w14:paraId="0291CD38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КПРФ — округа</w:t>
            </w:r>
          </w:p>
        </w:tc>
        <w:tc>
          <w:tcPr>
            <w:tcW w:w="1233" w:type="pct"/>
          </w:tcPr>
          <w:p w14:paraId="2E7A8CED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7–10</w:t>
            </w:r>
          </w:p>
        </w:tc>
        <w:tc>
          <w:tcPr>
            <w:tcW w:w="1233" w:type="pct"/>
          </w:tcPr>
          <w:p w14:paraId="2E7D20B1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не дан</w:t>
            </w:r>
          </w:p>
        </w:tc>
        <w:tc>
          <w:tcPr>
            <w:tcW w:w="1234" w:type="pct"/>
          </w:tcPr>
          <w:p w14:paraId="0CBE4D75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оценок не публикует</w:t>
            </w:r>
          </w:p>
        </w:tc>
      </w:tr>
      <w:tr w:rsidR="00A12B05" w:rsidRPr="00D665D4" w14:paraId="26AA5E1B" w14:textId="77777777" w:rsidTr="00A12B05">
        <w:tc>
          <w:tcPr>
            <w:tcW w:w="1300" w:type="pct"/>
          </w:tcPr>
          <w:p w14:paraId="67A8D688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Прохождение СРЗП</w:t>
            </w:r>
          </w:p>
        </w:tc>
        <w:tc>
          <w:tcPr>
            <w:tcW w:w="1233" w:type="pct"/>
          </w:tcPr>
          <w:p w14:paraId="533B0B14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60% (мартовская версия)</w:t>
            </w:r>
          </w:p>
        </w:tc>
        <w:tc>
          <w:tcPr>
            <w:tcW w:w="1233" w:type="pct"/>
          </w:tcPr>
          <w:p w14:paraId="1B24D8C8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грани</w:t>
            </w:r>
          </w:p>
        </w:tc>
        <w:tc>
          <w:tcPr>
            <w:tcW w:w="1234" w:type="pct"/>
          </w:tcPr>
          <w:p w14:paraId="7CECE216" w14:textId="77777777" w:rsidR="00A12B05" w:rsidRPr="00D665D4" w:rsidRDefault="00A12B05" w:rsidP="00505EA0">
            <w:pPr>
              <w:spacing w:after="0" w:line="240" w:lineRule="auto"/>
              <w:rPr>
                <w:sz w:val="24"/>
                <w:szCs w:val="24"/>
              </w:rPr>
            </w:pPr>
            <w:r w:rsidRPr="00D665D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оценок не публикует</w:t>
            </w:r>
          </w:p>
        </w:tc>
      </w:tr>
    </w:tbl>
    <w:p w14:paraId="70E8EBE0" w14:textId="77777777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DE7D0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>2.2. Содержательные расхождения</w:t>
      </w:r>
    </w:p>
    <w:p w14:paraId="3CD65562" w14:textId="77777777" w:rsidR="00A12B05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Между АПЭК,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ФоРГО</w:t>
      </w:r>
      <w:proofErr w:type="spellEnd"/>
      <w:r>
        <w:rPr>
          <w:sz w:val="28"/>
          <w:szCs w:val="28"/>
        </w:rPr>
        <w:t xml:space="preserve"> и ИНСОМАР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выявляются три значимых расхождения. </w:t>
      </w:r>
    </w:p>
    <w:p w14:paraId="54A2DEB8" w14:textId="1CBA9441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Первое — оценка результата «Единой России»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: АПЭК даёт самый высокий прогнозный коридор (54–57%), Костин формулирует осторожнее («более 50%»), ЭИСИ публично рассуждает о «потолке» и «фоне», избегая фиксированных значений.</w:t>
      </w:r>
      <w:r>
        <w:rPr>
          <w:sz w:val="28"/>
          <w:szCs w:val="28"/>
        </w:rPr>
        <w:t xml:space="preserve"> У ИНСОМАР оценка «ЕР» под техзадание АП – 52-55%.</w:t>
      </w:r>
    </w:p>
    <w:p w14:paraId="07470F9D" w14:textId="05966D4B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Второе — оценка «Новых людей»: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АПЭК даёт им узкий и относительно низкий коридор (6–8%) и относит их к «партиям, борющимся за четвёртое место»;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ФоРГО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же ставит «Новых людей» выше — 8–10% — и фактически делает их альтернативным претендентом на третье место. </w:t>
      </w:r>
      <w:r>
        <w:rPr>
          <w:sz w:val="28"/>
          <w:szCs w:val="28"/>
        </w:rPr>
        <w:t>У ИНСОМАР – 7-8% для «Новых людей»</w:t>
      </w:r>
    </w:p>
    <w:p w14:paraId="4C2EBA8C" w14:textId="590F76FF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 — методологический акцент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: АПЭК</w:t>
      </w:r>
      <w:r>
        <w:rPr>
          <w:sz w:val="28"/>
          <w:szCs w:val="28"/>
        </w:rPr>
        <w:t xml:space="preserve">, </w:t>
      </w:r>
      <w:proofErr w:type="spellStart"/>
      <w:r w:rsidR="00A12B05">
        <w:rPr>
          <w:sz w:val="28"/>
          <w:szCs w:val="28"/>
        </w:rPr>
        <w:t>ФоРГО</w:t>
      </w:r>
      <w:proofErr w:type="spellEnd"/>
      <w:r w:rsidR="00A12B05">
        <w:rPr>
          <w:sz w:val="28"/>
          <w:szCs w:val="28"/>
        </w:rPr>
        <w:t xml:space="preserve">, </w:t>
      </w:r>
      <w:r>
        <w:rPr>
          <w:sz w:val="28"/>
          <w:szCs w:val="28"/>
        </w:rPr>
        <w:t>ИНСОМАР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>
        <w:rPr>
          <w:sz w:val="28"/>
          <w:szCs w:val="28"/>
        </w:rPr>
        <w:t>ю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т ставку на жёсткий цифровой прогноз, ЭИСИ — на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интерпретативную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рамку «фактора второго места» и «новых колеблющихся», избегая количественных </w:t>
      </w:r>
      <w:r w:rsidR="009E23F1">
        <w:rPr>
          <w:rFonts w:ascii="Times New Roman" w:eastAsia="Times New Roman" w:hAnsi="Times New Roman" w:cs="Times New Roman"/>
          <w:sz w:val="28"/>
          <w:szCs w:val="28"/>
        </w:rPr>
        <w:t>величин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B775C3" w14:textId="72A73EB3" w:rsidR="00FB782F" w:rsidRPr="00A12B05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>Все структуры</w:t>
      </w:r>
      <w:r w:rsid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>, давшие количественный прогноз,</w:t>
      </w:r>
      <w:r w:rsidRP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сходятся в трёх ключевых пунктах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>КПРФ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— устойчивое второе место (с поддержкой выше 12%); борьба за прохождение </w:t>
      </w:r>
      <w:r w:rsidRPr="00A12B05">
        <w:rPr>
          <w:rFonts w:ascii="Times New Roman" w:eastAsia="Times New Roman" w:hAnsi="Times New Roman" w:cs="Times New Roman"/>
          <w:b/>
          <w:bCs/>
          <w:sz w:val="28"/>
          <w:szCs w:val="28"/>
        </w:rPr>
        <w:t>СРЗП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в Думу — проблемная; явка станет решающим фактором. Между прогнозами </w:t>
      </w:r>
      <w:r>
        <w:rPr>
          <w:sz w:val="28"/>
          <w:szCs w:val="28"/>
        </w:rPr>
        <w:t>ИНСОМАР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и АПЭК/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ФоРГО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(прогноз на сентябрь) видна разница в </w:t>
      </w:r>
      <w:r w:rsidR="00A12B0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12B0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 w:rsidR="00A12B05">
        <w:rPr>
          <w:rFonts w:ascii="Times New Roman" w:eastAsia="Times New Roman" w:hAnsi="Times New Roman" w:cs="Times New Roman"/>
          <w:sz w:val="28"/>
          <w:szCs w:val="28"/>
        </w:rPr>
        <w:t xml:space="preserve">«ЕР» и 1-3 </w:t>
      </w:r>
      <w:proofErr w:type="spellStart"/>
      <w:r w:rsidR="00A12B05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A12B05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большинства партий</w:t>
      </w:r>
      <w:r w:rsidR="00A12B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B05" w:rsidRPr="009E23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Возможно, накачка «ЕР» </w:t>
      </w:r>
      <w:r w:rsidRPr="009E23F1">
        <w:rPr>
          <w:rFonts w:ascii="Times New Roman" w:eastAsia="Times New Roman" w:hAnsi="Times New Roman" w:cs="Times New Roman"/>
          <w:i/>
          <w:iCs/>
          <w:sz w:val="28"/>
          <w:szCs w:val="28"/>
        </w:rPr>
        <w:t>отражает методологический приём «административной добавки» — закладку прогнозируемого эффекта мобилизации и админресурса в пользу ЕР.</w:t>
      </w:r>
    </w:p>
    <w:p w14:paraId="51C50948" w14:textId="588A62AD" w:rsidR="00FE4D7A" w:rsidRPr="00A12B05" w:rsidRDefault="00FE4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B05">
        <w:rPr>
          <w:rFonts w:ascii="Times New Roman" w:hAnsi="Times New Roman" w:cs="Times New Roman"/>
          <w:sz w:val="28"/>
          <w:szCs w:val="28"/>
        </w:rPr>
        <w:br w:type="page"/>
      </w:r>
    </w:p>
    <w:p w14:paraId="142D78B5" w14:textId="77777777" w:rsidR="00FB782F" w:rsidRPr="00FE4D7A" w:rsidRDefault="00FB782F" w:rsidP="00505EA0">
      <w:pPr>
        <w:pStyle w:val="2"/>
        <w:spacing w:before="0" w:after="0"/>
        <w:ind w:firstLine="709"/>
        <w:rPr>
          <w:rFonts w:ascii="Gotham Pro Black" w:hAnsi="Gotham Pro Black" w:cs="Gotham Pro Black"/>
          <w:sz w:val="28"/>
          <w:szCs w:val="28"/>
        </w:rPr>
      </w:pPr>
      <w:r w:rsidRPr="00FE4D7A">
        <w:rPr>
          <w:rFonts w:ascii="Gotham Pro Black" w:hAnsi="Gotham Pro Black" w:cs="Gotham Pro Black"/>
          <w:sz w:val="28"/>
          <w:szCs w:val="28"/>
        </w:rPr>
        <w:lastRenderedPageBreak/>
        <w:t>3. Слабые места и сильные стороны доклада АПЭК</w:t>
      </w:r>
    </w:p>
    <w:p w14:paraId="2F7C7A71" w14:textId="17DFB199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О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перативны</w:t>
      </w:r>
      <w:r>
        <w:rPr>
          <w:sz w:val="28"/>
          <w:szCs w:val="28"/>
        </w:rPr>
        <w:t>й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мониторинг ЦИПКР по рейтингам </w:t>
      </w:r>
      <w:r>
        <w:rPr>
          <w:sz w:val="28"/>
          <w:szCs w:val="28"/>
        </w:rPr>
        <w:t xml:space="preserve">различных социологических служб, а также анализ тенденций в оценке тревожности, различных сторон жизни общества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позволяет выделить</w:t>
      </w:r>
      <w:r w:rsidR="009827F5" w:rsidRPr="009827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2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как корректно зафиксированные авторами тенденции, так и системные искажения и недооценки.</w:t>
      </w:r>
    </w:p>
    <w:p w14:paraId="55720DDA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>3.1. Сильные стороны доклада АПЭК</w:t>
      </w:r>
    </w:p>
    <w:p w14:paraId="138A4501" w14:textId="64444949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Корректно фиксируется фактор фрагментации оппозиционного поля и феномен «новых колеблющихся». </w:t>
      </w:r>
      <w:r>
        <w:rPr>
          <w:sz w:val="28"/>
          <w:szCs w:val="28"/>
        </w:rPr>
        <w:t>Д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анных </w:t>
      </w:r>
      <w:r w:rsidR="009827F5">
        <w:rPr>
          <w:rFonts w:ascii="Times New Roman" w:eastAsia="Times New Roman" w:hAnsi="Times New Roman" w:cs="Times New Roman"/>
          <w:sz w:val="28"/>
          <w:szCs w:val="28"/>
        </w:rPr>
        <w:t>ЦИПКР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подтвержда</w:t>
      </w:r>
      <w:r>
        <w:rPr>
          <w:sz w:val="28"/>
          <w:szCs w:val="28"/>
        </w:rPr>
        <w:t>ю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9E23F1">
        <w:rPr>
          <w:rFonts w:ascii="Times New Roman" w:eastAsia="Times New Roman" w:hAnsi="Times New Roman" w:cs="Times New Roman"/>
          <w:sz w:val="28"/>
          <w:szCs w:val="28"/>
        </w:rPr>
        <w:t>высокую долю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неопределившихся (в декабре 2025 г. — 26,14%, в апреле 2026 г. — 25,50%) и волатильность поведения конкурентов («Новые люди»: 9,64% в марте → 12,11% в апреле; ЛДПР: 10,27% → 11,56%). </w:t>
      </w:r>
    </w:p>
    <w:p w14:paraId="3A8604EA" w14:textId="77777777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D4">
        <w:rPr>
          <w:rFonts w:ascii="Times New Roman" w:eastAsia="Times New Roman" w:hAnsi="Times New Roman" w:cs="Times New Roman"/>
          <w:b/>
          <w:bCs/>
          <w:sz w:val="28"/>
          <w:szCs w:val="28"/>
        </w:rPr>
        <w:t>АПЭК верно идентифицирует риск «размывания» протестного голосования в крупных городах между КПРФ, СРЗП и «Новыми людьми».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Этот риск признаётся и </w:t>
      </w:r>
      <w:r>
        <w:rPr>
          <w:sz w:val="28"/>
          <w:szCs w:val="28"/>
        </w:rPr>
        <w:t>ЦИПКР. В докладе на семинаре-совещании в ЦК КПРФ от имени ЦИПКР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в разделе «Борьба за повестку и уходящий электорат ЕР» прямо указано, что КПРФ конкурирует с «Новыми людьми» именно за уходящий из «Единой России» сегмент.</w:t>
      </w:r>
    </w:p>
    <w:p w14:paraId="42775EC6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D665D4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Корректно сегментирован ядерный электорат КПРФ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— это согласуется с собственной выборной концепцией Партии: 46,7% — ядерный избиратель 60+ с советским бэкграундом; 25,6% — предпенсионеры (45–59); 19,4% — экономически активная группа 30–44; 8,4% — молодёжь (18–29). </w:t>
      </w:r>
    </w:p>
    <w:p w14:paraId="787B9CA1" w14:textId="784824D0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Совпадает и оценка СРЗП</w:t>
      </w:r>
      <w:r w:rsidR="009827F5" w:rsidRPr="00982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электорально слабой структуры с риском непрохождения </w:t>
      </w:r>
      <w:r w:rsidR="009E23F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барьера</w:t>
      </w:r>
      <w:r w:rsidR="009E23F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: данные ВЦИОМ и ФОМ согласованно фиксируют СРЗП в коридоре 4–7,7%.</w:t>
      </w:r>
    </w:p>
    <w:p w14:paraId="3934D05D" w14:textId="2F753833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Адекватно зафиксирован тренд сокращения разрыва между КПРФ и ЛДПР.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B05">
        <w:rPr>
          <w:rFonts w:ascii="Times New Roman" w:eastAsia="Times New Roman" w:hAnsi="Times New Roman" w:cs="Times New Roman"/>
          <w:sz w:val="28"/>
          <w:szCs w:val="28"/>
        </w:rPr>
        <w:t>Социсследования, которыми располагает ЦИПКР</w:t>
      </w:r>
      <w:r w:rsidR="00982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7F5" w:rsidRPr="004C4CCD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982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КПРФ устойчиво опережает ЛДПР, что соответствует логике АПЭК.</w:t>
      </w:r>
    </w:p>
    <w:p w14:paraId="3A2A4DA3" w14:textId="77777777" w:rsidR="00FB782F" w:rsidRPr="004C4CCD" w:rsidRDefault="00FB782F" w:rsidP="00505EA0">
      <w:pPr>
        <w:pStyle w:val="3"/>
        <w:spacing w:before="0" w:after="0"/>
        <w:ind w:firstLine="709"/>
        <w:rPr>
          <w:sz w:val="28"/>
          <w:szCs w:val="28"/>
        </w:rPr>
      </w:pPr>
      <w:r w:rsidRPr="004C4CCD">
        <w:rPr>
          <w:sz w:val="28"/>
          <w:szCs w:val="28"/>
        </w:rPr>
        <w:t>3.2. Слабые стороны и системные искажения</w:t>
      </w:r>
    </w:p>
    <w:p w14:paraId="03F1357E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Первая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слабость доклада АПЭК — игнорирование системного кризиса легитимности власти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зафиксированного </w:t>
      </w:r>
      <w:r>
        <w:rPr>
          <w:sz w:val="28"/>
          <w:szCs w:val="28"/>
        </w:rPr>
        <w:t>многими экспертами и специалистами ЦИПРК и ЦК КПРФ.</w:t>
      </w:r>
    </w:p>
    <w:p w14:paraId="579DDCFE" w14:textId="7DB497A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а период ноябрь 2025 — март 2026</w:t>
      </w:r>
      <w:r w:rsidR="009827F5" w:rsidRPr="00982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индекс одобрения экономической политики упал с 41 до 21 (−20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., впервые баланс отрицательный: −10), внешней политики — с 59 до 41 (−18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.), внутренней политики — с 45 до 33 (−12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.), социальной сферы — с 40 до 34 (−6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</w:p>
    <w:p w14:paraId="5E33DB48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Спонтанный рейтинг В. Путина обвалился с 54,0% (март 2024) до 29,5% (март 2026) — падение на 24,5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Рейтинг «Единой России» по ВЦИОМ снизился с 34,3% (декабрь 2025, пик) до 27,3% (апрель 2026), потеряв 7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за четыре месяца. </w:t>
      </w:r>
    </w:p>
    <w:p w14:paraId="06703F4A" w14:textId="77777777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В таких условиях прогноз АПЭК «не менее 55%» предполагает удвоение текущего рейтинга ЕР за 4–5 месяцев — задача, не имеющая прецедента в постсоветской электоральной истории и противоречащая всем индикаторам общественного настроения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389D1A" w14:textId="2793A8C4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Вторая слабость — недооценка реального потолка КПРФ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. АПЭК прогнозирует КПРФ 13–15%, тогда как по данным</w:t>
      </w:r>
      <w:r w:rsidR="00331478">
        <w:rPr>
          <w:rFonts w:ascii="Times New Roman" w:eastAsia="Times New Roman" w:hAnsi="Times New Roman" w:cs="Times New Roman"/>
          <w:sz w:val="28"/>
          <w:szCs w:val="28"/>
        </w:rPr>
        <w:t xml:space="preserve"> опросов, которыми располагает ЦИПКР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на апрель 2026 г. от определившихся избирателей</w:t>
      </w:r>
      <w:r w:rsidR="009827F5" w:rsidRPr="00982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КПРФ уже набирает 17,14% (рост с 13,83% в декабре 2025 г., +3,31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.). Это означает, что АПЭК закладывает либо стагнацию, либо снижение поддержки КПРФ </w:t>
      </w:r>
      <w:r>
        <w:rPr>
          <w:sz w:val="28"/>
          <w:szCs w:val="28"/>
        </w:rPr>
        <w:t>административными методами</w:t>
      </w:r>
      <w:r w:rsidR="009827F5" w:rsidRPr="009827F5">
        <w:rPr>
          <w:sz w:val="28"/>
          <w:szCs w:val="28"/>
        </w:rPr>
        <w:t xml:space="preserve">,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относительно текущей траектории, тогда как фактическая динамика — рост. При сохранении тенденции и активной мобилизационной кампании</w:t>
      </w:r>
      <w:r w:rsidR="009827F5" w:rsidRPr="00982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реальный коридор КПРФ — 15–18% по списку, что даёт 50–60 мандатов по списку.</w:t>
      </w:r>
    </w:p>
    <w:p w14:paraId="65EFB028" w14:textId="77777777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Третья слабость — игнорирование разрыва между «мегафоном» и «смыслами», задокументированного методикой </w:t>
      </w:r>
      <w:r>
        <w:rPr>
          <w:b/>
          <w:bCs/>
          <w:sz w:val="28"/>
          <w:szCs w:val="28"/>
        </w:rPr>
        <w:t xml:space="preserve">оценки </w:t>
      </w:r>
      <w:proofErr w:type="gramStart"/>
      <w:r>
        <w:rPr>
          <w:b/>
          <w:bCs/>
          <w:sz w:val="28"/>
          <w:szCs w:val="28"/>
        </w:rPr>
        <w:t>медиа-активности</w:t>
      </w:r>
      <w:proofErr w:type="gramEnd"/>
      <w:r>
        <w:rPr>
          <w:b/>
          <w:bCs/>
          <w:sz w:val="28"/>
          <w:szCs w:val="28"/>
        </w:rPr>
        <w:t xml:space="preserve"> 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ЦИПКР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(мониторинг 16 марта — 19 апреля 2026 г.). По интегральному рейтингу четырёх контуров (СМИ, соцсети, ТВ, повестка) на 5-й неделе мониторинга «Единая Россия» имеет 99,87 в каналах доставки и 32,00 в повестке, тогда как КПРФ — 30,34 в СМИ, 15,79 в соцсетях, 17,09 на ТВ, но 60,00 в повестке (1-е место). КПРФ контролирует содержательное поле — «Жизнь и кошелёк», ЖКХ, цифровые права, миграция, народосбережение — но не имеет соразмерного доступа к каналам массовой доставки. АПЭК при анализе кампании этот разрыв не учитывает и фактически экстраполирует существующее «мегафонное» преимущество ЕР как электоральное.</w:t>
      </w:r>
    </w:p>
    <w:p w14:paraId="3745D3D6" w14:textId="02B94790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Четвёртая слабость — методологическая аберрация в оценке «дробности оппозиции».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АПЭК трактует фрагментацию</w:t>
      </w:r>
      <w:r w:rsidR="00340F63" w:rsidRPr="00340F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>как риск исключительно для КПРФ, тогда как данные</w:t>
      </w:r>
      <w:r w:rsidR="00331478">
        <w:rPr>
          <w:rFonts w:ascii="Times New Roman" w:eastAsia="Times New Roman" w:hAnsi="Times New Roman" w:cs="Times New Roman"/>
          <w:sz w:val="28"/>
          <w:szCs w:val="28"/>
        </w:rPr>
        <w:t xml:space="preserve">, имеющиеся у ЦИПКР, 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показывают: за период декабрь 2025 — апрель 2026 «Единая Россия» потеряла 4,20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(29,16% → 24,96%), а КПРФ прибавила 2,55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., СРЗП — 2,45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., ЛДПР — 1,97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., «Новые люди» — 1,25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 словами, фрагментация работает не против оппозиции, а против ЕР, дробя её уходящий электорат между четырьмя оппозиционными партиями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E23F1">
        <w:rPr>
          <w:rFonts w:ascii="Times New Roman" w:eastAsia="Times New Roman" w:hAnsi="Times New Roman" w:cs="Times New Roman"/>
          <w:i/>
          <w:iCs/>
          <w:sz w:val="28"/>
          <w:szCs w:val="28"/>
        </w:rPr>
        <w:t>КПРФ — главный бенефициар по абсолютному приросту.</w:t>
      </w:r>
    </w:p>
    <w:p w14:paraId="0CDC8266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Пятая слабость — занижение прогноза по одномандатным округам для КПРФ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Прогноз 7–10 округов идентичен мартовской фоновой оценке и не учитывает три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факторa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2834BBD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(а) обвал персонального доверия к Президенту (−7,6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безусловного доверия за год по ВЦИОМ), </w:t>
      </w:r>
    </w:p>
    <w:p w14:paraId="01FD4C7C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(б) исторический минимум «Единой России» по ВЦИОМ (27,3%), </w:t>
      </w:r>
    </w:p>
    <w:p w14:paraId="6D6BD4B6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(в) рост тревожности (по ФОМ — 46% против 47% спокойных, разрыв сократился до 1 </w:t>
      </w:r>
      <w:proofErr w:type="spellStart"/>
      <w:r w:rsidRPr="004C4CC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</w:p>
    <w:p w14:paraId="5CCC4CA3" w14:textId="77777777" w:rsidR="00FB782F" w:rsidRPr="004C4CCD" w:rsidRDefault="00FB782F" w:rsidP="0050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>В условиях, когда «Единая Россия» теряет ядро в малых и средних городах — основном сегменте КПРФ — потенциал партии в одномандатных округах оценивается ЦИПКР в 12–18 побед при условии адресной мобилизации в приоритетных регионах.</w:t>
      </w:r>
    </w:p>
    <w:p w14:paraId="003AE045" w14:textId="77777777" w:rsidR="00331478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Шестая слабость — отсутствие учёта методологического зазора между социологическими службами.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По данным от 27.04.2026: ФОМ даёт КПРФ 8%, ВЦИОМ — 10,9%</w:t>
      </w:r>
      <w:r w:rsidR="00331478">
        <w:rPr>
          <w:rFonts w:ascii="Times New Roman" w:eastAsia="Times New Roman" w:hAnsi="Times New Roman" w:cs="Times New Roman"/>
          <w:sz w:val="28"/>
          <w:szCs w:val="28"/>
        </w:rPr>
        <w:t xml:space="preserve">. По данным ЦИПКР у КПРФ устойчивое второе место. </w:t>
      </w:r>
    </w:p>
    <w:p w14:paraId="3B60D3A3" w14:textId="77777777" w:rsidR="00FE4D7A" w:rsidRPr="00A12B05" w:rsidRDefault="00FE4D7A" w:rsidP="00505EA0">
      <w:pPr>
        <w:pStyle w:val="3"/>
        <w:spacing w:before="0" w:after="0"/>
        <w:ind w:firstLine="709"/>
        <w:rPr>
          <w:sz w:val="28"/>
          <w:szCs w:val="28"/>
        </w:rPr>
      </w:pPr>
    </w:p>
    <w:p w14:paraId="65EF1303" w14:textId="32C503D8" w:rsidR="00FB782F" w:rsidRPr="009E23F1" w:rsidRDefault="009E23F1" w:rsidP="00505EA0">
      <w:pPr>
        <w:pStyle w:val="3"/>
        <w:spacing w:before="0" w:after="0"/>
        <w:ind w:firstLine="709"/>
        <w:rPr>
          <w:rFonts w:ascii="Gotham Pro Black" w:hAnsi="Gotham Pro Black" w:cs="Gotham Pro Black"/>
          <w:i w:val="0"/>
          <w:iCs w:val="0"/>
          <w:sz w:val="28"/>
          <w:szCs w:val="28"/>
          <w:u w:val="single"/>
        </w:rPr>
      </w:pPr>
      <w:r w:rsidRPr="009E23F1">
        <w:rPr>
          <w:rFonts w:ascii="Gotham Pro Black" w:hAnsi="Gotham Pro Black" w:cs="Gotham Pro Black"/>
          <w:i w:val="0"/>
          <w:iCs w:val="0"/>
          <w:sz w:val="28"/>
          <w:szCs w:val="28"/>
          <w:u w:val="single"/>
        </w:rPr>
        <w:t>НЕКОТОРЫЕ ВЫВОДЫ:</w:t>
      </w:r>
    </w:p>
    <w:p w14:paraId="1FB95067" w14:textId="6F10E5B9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Доклад АПЭК следует расценивать как </w:t>
      </w:r>
      <w:r w:rsidR="009E23F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программирующий</w:t>
      </w:r>
      <w:r w:rsidR="009E23F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 АП, а не как нейтральный экспертный анализ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69CB189" w14:textId="77777777" w:rsidR="009E23F1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Он выполняет три функции: </w:t>
      </w:r>
    </w:p>
    <w:p w14:paraId="4BFB7C8A" w14:textId="77777777" w:rsidR="009E23F1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а) задаёт публичный потолок результата ЕР («не менее 55%») для региональных штабов; </w:t>
      </w:r>
    </w:p>
    <w:p w14:paraId="742C7B5B" w14:textId="77777777" w:rsidR="009E23F1" w:rsidRDefault="00FB782F" w:rsidP="0050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б) фиксирует «нишевый потолок» оппозиции, в т.ч. КПРФ (13–15%); </w:t>
      </w:r>
    </w:p>
    <w:p w14:paraId="234E51FE" w14:textId="4ACEA212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в) легитимизирует тезис о «дробности оппозиции», обосновывающий ставку на админресурс. </w:t>
      </w:r>
    </w:p>
    <w:p w14:paraId="0EAC3732" w14:textId="77777777" w:rsidR="00FB782F" w:rsidRDefault="00FB782F" w:rsidP="00505EA0">
      <w:pPr>
        <w:spacing w:after="0" w:line="240" w:lineRule="auto"/>
        <w:ind w:firstLine="709"/>
        <w:jc w:val="both"/>
        <w:rPr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>Партии</w:t>
      </w:r>
      <w:r>
        <w:rPr>
          <w:sz w:val="28"/>
          <w:szCs w:val="28"/>
        </w:rPr>
        <w:t>, ее спикерам легко будет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публично оспорить базовые посылки доклада</w:t>
      </w:r>
      <w:r>
        <w:rPr>
          <w:sz w:val="28"/>
          <w:szCs w:val="28"/>
        </w:rPr>
        <w:t xml:space="preserve"> (</w:t>
      </w:r>
      <w:r w:rsidRPr="009E23F1">
        <w:rPr>
          <w:i/>
          <w:iCs/>
          <w:sz w:val="28"/>
          <w:szCs w:val="28"/>
        </w:rPr>
        <w:t>если будет принято необходимое политическое решение</w:t>
      </w:r>
      <w:r>
        <w:rPr>
          <w:sz w:val="28"/>
          <w:szCs w:val="28"/>
        </w:rPr>
        <w:t>).</w:t>
      </w:r>
    </w:p>
    <w:p w14:paraId="7FCE3C4C" w14:textId="77777777" w:rsidR="00FB782F" w:rsidRPr="004C4CCD" w:rsidRDefault="00FB782F" w:rsidP="00505E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EC2639" w14:textId="77777777" w:rsidR="00FB782F" w:rsidRPr="009E23F1" w:rsidRDefault="00FB782F" w:rsidP="009E23F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23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Подготовили:</w:t>
      </w:r>
    </w:p>
    <w:p w14:paraId="38A95D92" w14:textId="5A9345E3" w:rsidR="009E23F1" w:rsidRDefault="00FB782F" w:rsidP="009E23F1">
      <w:pPr>
        <w:spacing w:after="0" w:line="240" w:lineRule="auto"/>
        <w:ind w:firstLine="709"/>
        <w:jc w:val="right"/>
        <w:rPr>
          <w:b/>
          <w:bCs/>
          <w:sz w:val="28"/>
          <w:szCs w:val="28"/>
        </w:rPr>
      </w:pPr>
      <w:proofErr w:type="spellStart"/>
      <w:r w:rsidRPr="00195585">
        <w:rPr>
          <w:b/>
          <w:bCs/>
          <w:sz w:val="28"/>
          <w:szCs w:val="28"/>
        </w:rPr>
        <w:t>С.П.Обухов</w:t>
      </w:r>
      <w:proofErr w:type="spellEnd"/>
      <w:r w:rsidRPr="00195585">
        <w:rPr>
          <w:b/>
          <w:bCs/>
          <w:sz w:val="28"/>
          <w:szCs w:val="28"/>
        </w:rPr>
        <w:t>,</w:t>
      </w:r>
      <w:r w:rsidR="009E23F1" w:rsidRPr="004C4CCD">
        <w:rPr>
          <w:rFonts w:ascii="Times New Roman" w:eastAsia="Times New Roman" w:hAnsi="Times New Roman" w:cs="Times New Roman"/>
          <w:sz w:val="28"/>
          <w:szCs w:val="28"/>
        </w:rPr>
        <w:t xml:space="preserve"> доктор политических наук,</w:t>
      </w:r>
    </w:p>
    <w:p w14:paraId="06DD4DFE" w14:textId="77777777" w:rsidR="009E23F1" w:rsidRDefault="00FB782F" w:rsidP="009E23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И.М. Куприянова, </w:t>
      </w:r>
    </w:p>
    <w:p w14:paraId="3FB0B1B4" w14:textId="77777777" w:rsidR="009E23F1" w:rsidRDefault="00FB782F" w:rsidP="009E23F1">
      <w:pPr>
        <w:spacing w:after="0" w:line="240" w:lineRule="auto"/>
        <w:ind w:firstLine="709"/>
        <w:jc w:val="right"/>
        <w:rPr>
          <w:b/>
          <w:bCs/>
          <w:sz w:val="28"/>
          <w:szCs w:val="28"/>
        </w:rPr>
      </w:pPr>
      <w:proofErr w:type="spellStart"/>
      <w:r w:rsidRPr="00195585">
        <w:rPr>
          <w:b/>
          <w:bCs/>
          <w:sz w:val="28"/>
          <w:szCs w:val="28"/>
        </w:rPr>
        <w:t>А.М.Михальчук</w:t>
      </w:r>
      <w:proofErr w:type="spellEnd"/>
      <w:r w:rsidRPr="00195585">
        <w:rPr>
          <w:b/>
          <w:bCs/>
          <w:sz w:val="28"/>
          <w:szCs w:val="28"/>
        </w:rPr>
        <w:t xml:space="preserve">, </w:t>
      </w:r>
    </w:p>
    <w:p w14:paraId="66D9B6FF" w14:textId="77777777" w:rsidR="009E23F1" w:rsidRDefault="00FB782F" w:rsidP="009E23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Н.В. Фокина, </w:t>
      </w:r>
    </w:p>
    <w:p w14:paraId="5CD490E1" w14:textId="77777777" w:rsidR="009E23F1" w:rsidRDefault="00FB782F" w:rsidP="009E23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585">
        <w:rPr>
          <w:b/>
          <w:bCs/>
          <w:sz w:val="28"/>
          <w:szCs w:val="28"/>
        </w:rPr>
        <w:t>С</w:t>
      </w: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.С. Крылов, </w:t>
      </w:r>
    </w:p>
    <w:p w14:paraId="6F8320DC" w14:textId="494E530A" w:rsidR="00FB782F" w:rsidRPr="00195585" w:rsidRDefault="00FB782F" w:rsidP="009E23F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5585">
        <w:rPr>
          <w:b/>
          <w:bCs/>
          <w:sz w:val="28"/>
          <w:szCs w:val="28"/>
        </w:rPr>
        <w:t>А.М.Богачев</w:t>
      </w:r>
      <w:proofErr w:type="spellEnd"/>
    </w:p>
    <w:p w14:paraId="1490950E" w14:textId="77777777" w:rsidR="00FB782F" w:rsidRPr="004C4CCD" w:rsidRDefault="00FB782F" w:rsidP="009E23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Ответственный за выпуск:</w:t>
      </w:r>
    </w:p>
    <w:p w14:paraId="09B2FAC1" w14:textId="77777777" w:rsidR="00FB782F" w:rsidRPr="004C4CCD" w:rsidRDefault="00FB782F" w:rsidP="009E23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5585">
        <w:rPr>
          <w:rFonts w:ascii="Times New Roman" w:eastAsia="Times New Roman" w:hAnsi="Times New Roman" w:cs="Times New Roman"/>
          <w:b/>
          <w:bCs/>
          <w:sz w:val="28"/>
          <w:szCs w:val="28"/>
        </w:rPr>
        <w:t>С.П. Обухов,</w:t>
      </w:r>
      <w:r w:rsidRPr="004C4CCD">
        <w:rPr>
          <w:rFonts w:ascii="Times New Roman" w:eastAsia="Times New Roman" w:hAnsi="Times New Roman" w:cs="Times New Roman"/>
          <w:sz w:val="28"/>
          <w:szCs w:val="28"/>
        </w:rPr>
        <w:t xml:space="preserve"> доктор политических наук,</w:t>
      </w:r>
    </w:p>
    <w:p w14:paraId="324A6839" w14:textId="77777777" w:rsidR="00FB782F" w:rsidRPr="004C4CCD" w:rsidRDefault="00FB782F" w:rsidP="009E23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4CCD">
        <w:rPr>
          <w:rFonts w:ascii="Times New Roman" w:eastAsia="Times New Roman" w:hAnsi="Times New Roman" w:cs="Times New Roman"/>
          <w:sz w:val="28"/>
          <w:szCs w:val="28"/>
        </w:rPr>
        <w:t>член Президиума, Секретарь ЦК КПРФ</w:t>
      </w:r>
    </w:p>
    <w:p w14:paraId="449F3E3F" w14:textId="77777777" w:rsidR="009E23F1" w:rsidRDefault="009E23F1" w:rsidP="0050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</w:p>
    <w:p w14:paraId="6B8D2FB1" w14:textId="5EECFC7D" w:rsidR="00FB782F" w:rsidRDefault="00FB782F" w:rsidP="00505EA0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i/>
          <w:iCs/>
        </w:rPr>
        <w:t>Москва, 29 апреля 2026 г.</w:t>
      </w:r>
    </w:p>
    <w:p w14:paraId="4BE3EE3C" w14:textId="77777777" w:rsidR="00EC2483" w:rsidRPr="00695C5F" w:rsidRDefault="00EC2483" w:rsidP="00505EA0">
      <w:pPr>
        <w:spacing w:after="0" w:line="240" w:lineRule="auto"/>
        <w:ind w:firstLine="709"/>
        <w:jc w:val="right"/>
        <w:rPr>
          <w:i/>
          <w:iCs/>
          <w:sz w:val="28"/>
          <w:szCs w:val="28"/>
          <w:lang w:eastAsia="ru-RU"/>
        </w:rPr>
      </w:pPr>
    </w:p>
    <w:sectPr w:rsidR="00EC2483" w:rsidRPr="00695C5F">
      <w:foot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75E5" w14:textId="77777777" w:rsidR="00A47D36" w:rsidRDefault="00A47D36" w:rsidP="00E4179B">
      <w:pPr>
        <w:spacing w:after="0" w:line="240" w:lineRule="auto"/>
      </w:pPr>
      <w:r>
        <w:separator/>
      </w:r>
    </w:p>
  </w:endnote>
  <w:endnote w:type="continuationSeparator" w:id="0">
    <w:p w14:paraId="11E988F9" w14:textId="77777777" w:rsidR="00A47D36" w:rsidRDefault="00A47D36" w:rsidP="00E4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otham Pro Black">
    <w:altName w:val="Calibri"/>
    <w:charset w:val="CC"/>
    <w:family w:val="auto"/>
    <w:pitch w:val="variable"/>
    <w:sig w:usb0="80000AAF" w:usb1="5000204A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578815"/>
      <w:docPartObj>
        <w:docPartGallery w:val="Page Numbers (Bottom of Page)"/>
        <w:docPartUnique/>
      </w:docPartObj>
    </w:sdtPr>
    <w:sdtEndPr/>
    <w:sdtContent>
      <w:p w14:paraId="38CFA7F1" w14:textId="32925AFD" w:rsidR="00764497" w:rsidRDefault="007644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EF4D8" w14:textId="77777777" w:rsidR="00764497" w:rsidRDefault="00764497">
    <w:pPr>
      <w:pStyle w:val="a9"/>
    </w:pPr>
  </w:p>
  <w:p w14:paraId="4E62E840" w14:textId="77777777" w:rsidR="00000000" w:rsidRDefault="00A47D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CE98" w14:textId="77777777" w:rsidR="00A47D36" w:rsidRDefault="00A47D36" w:rsidP="00E4179B">
      <w:pPr>
        <w:spacing w:after="0" w:line="240" w:lineRule="auto"/>
      </w:pPr>
      <w:r>
        <w:separator/>
      </w:r>
    </w:p>
  </w:footnote>
  <w:footnote w:type="continuationSeparator" w:id="0">
    <w:p w14:paraId="3D78028D" w14:textId="77777777" w:rsidR="00A47D36" w:rsidRDefault="00A47D36" w:rsidP="00E4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EDC"/>
    <w:multiLevelType w:val="multilevel"/>
    <w:tmpl w:val="2318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6C76"/>
    <w:multiLevelType w:val="multilevel"/>
    <w:tmpl w:val="8060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12953"/>
    <w:multiLevelType w:val="multilevel"/>
    <w:tmpl w:val="33AC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77127"/>
    <w:multiLevelType w:val="multilevel"/>
    <w:tmpl w:val="44C4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E29DF"/>
    <w:multiLevelType w:val="multilevel"/>
    <w:tmpl w:val="0B98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B7A14"/>
    <w:multiLevelType w:val="multilevel"/>
    <w:tmpl w:val="3B8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52715"/>
    <w:multiLevelType w:val="multilevel"/>
    <w:tmpl w:val="087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A1E40"/>
    <w:multiLevelType w:val="multilevel"/>
    <w:tmpl w:val="516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951DA"/>
    <w:multiLevelType w:val="multilevel"/>
    <w:tmpl w:val="A112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C7CC4"/>
    <w:multiLevelType w:val="multilevel"/>
    <w:tmpl w:val="A0BE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2494"/>
    <w:multiLevelType w:val="hybridMultilevel"/>
    <w:tmpl w:val="D3A295B4"/>
    <w:lvl w:ilvl="0" w:tplc="B57CF3A4">
      <w:start w:val="1"/>
      <w:numFmt w:val="bullet"/>
      <w:lvlText w:val="•"/>
      <w:lvlJc w:val="left"/>
      <w:pPr>
        <w:ind w:left="720" w:hanging="360"/>
      </w:pPr>
    </w:lvl>
    <w:lvl w:ilvl="1" w:tplc="8150622E">
      <w:numFmt w:val="decimal"/>
      <w:lvlText w:val=""/>
      <w:lvlJc w:val="left"/>
    </w:lvl>
    <w:lvl w:ilvl="2" w:tplc="FF18E084">
      <w:numFmt w:val="decimal"/>
      <w:lvlText w:val=""/>
      <w:lvlJc w:val="left"/>
    </w:lvl>
    <w:lvl w:ilvl="3" w:tplc="A98E323E">
      <w:numFmt w:val="decimal"/>
      <w:lvlText w:val=""/>
      <w:lvlJc w:val="left"/>
    </w:lvl>
    <w:lvl w:ilvl="4" w:tplc="FB884B6A">
      <w:numFmt w:val="decimal"/>
      <w:lvlText w:val=""/>
      <w:lvlJc w:val="left"/>
    </w:lvl>
    <w:lvl w:ilvl="5" w:tplc="84E85E86">
      <w:numFmt w:val="decimal"/>
      <w:lvlText w:val=""/>
      <w:lvlJc w:val="left"/>
    </w:lvl>
    <w:lvl w:ilvl="6" w:tplc="ABCC31E4">
      <w:numFmt w:val="decimal"/>
      <w:lvlText w:val=""/>
      <w:lvlJc w:val="left"/>
    </w:lvl>
    <w:lvl w:ilvl="7" w:tplc="5560DE90">
      <w:numFmt w:val="decimal"/>
      <w:lvlText w:val=""/>
      <w:lvlJc w:val="left"/>
    </w:lvl>
    <w:lvl w:ilvl="8" w:tplc="D41E1D22">
      <w:numFmt w:val="decimal"/>
      <w:lvlText w:val=""/>
      <w:lvlJc w:val="left"/>
    </w:lvl>
  </w:abstractNum>
  <w:abstractNum w:abstractNumId="11" w15:restartNumberingAfterBreak="0">
    <w:nsid w:val="55695947"/>
    <w:multiLevelType w:val="multilevel"/>
    <w:tmpl w:val="6C18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E6067"/>
    <w:multiLevelType w:val="multilevel"/>
    <w:tmpl w:val="30E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F6F81"/>
    <w:multiLevelType w:val="multilevel"/>
    <w:tmpl w:val="E444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44"/>
    <w:rsid w:val="00003BD3"/>
    <w:rsid w:val="00003D10"/>
    <w:rsid w:val="000158EE"/>
    <w:rsid w:val="00022FA0"/>
    <w:rsid w:val="000334ED"/>
    <w:rsid w:val="000440F2"/>
    <w:rsid w:val="0005261E"/>
    <w:rsid w:val="00055EAA"/>
    <w:rsid w:val="00063770"/>
    <w:rsid w:val="00084845"/>
    <w:rsid w:val="00087200"/>
    <w:rsid w:val="00094A90"/>
    <w:rsid w:val="000956F5"/>
    <w:rsid w:val="000A12DB"/>
    <w:rsid w:val="000A496B"/>
    <w:rsid w:val="000B0F67"/>
    <w:rsid w:val="000B3D27"/>
    <w:rsid w:val="000B51F3"/>
    <w:rsid w:val="000B5B44"/>
    <w:rsid w:val="000B6D2B"/>
    <w:rsid w:val="000C671D"/>
    <w:rsid w:val="000D2276"/>
    <w:rsid w:val="000D2B7B"/>
    <w:rsid w:val="000D41ED"/>
    <w:rsid w:val="000D5E59"/>
    <w:rsid w:val="000D760B"/>
    <w:rsid w:val="000E3038"/>
    <w:rsid w:val="000E3B40"/>
    <w:rsid w:val="000F4B4E"/>
    <w:rsid w:val="001039DA"/>
    <w:rsid w:val="00103D5E"/>
    <w:rsid w:val="00112DBC"/>
    <w:rsid w:val="001136E8"/>
    <w:rsid w:val="0011469A"/>
    <w:rsid w:val="001172D3"/>
    <w:rsid w:val="00120C58"/>
    <w:rsid w:val="001232A6"/>
    <w:rsid w:val="00124C4E"/>
    <w:rsid w:val="00126521"/>
    <w:rsid w:val="001357EF"/>
    <w:rsid w:val="00142411"/>
    <w:rsid w:val="0014321E"/>
    <w:rsid w:val="00151F89"/>
    <w:rsid w:val="00154825"/>
    <w:rsid w:val="00155860"/>
    <w:rsid w:val="001618B3"/>
    <w:rsid w:val="00162760"/>
    <w:rsid w:val="00183B94"/>
    <w:rsid w:val="001846D6"/>
    <w:rsid w:val="001B146E"/>
    <w:rsid w:val="001B4035"/>
    <w:rsid w:val="001C60F0"/>
    <w:rsid w:val="001D2709"/>
    <w:rsid w:val="001D35FA"/>
    <w:rsid w:val="001E5685"/>
    <w:rsid w:val="001E7871"/>
    <w:rsid w:val="001F7643"/>
    <w:rsid w:val="00202F70"/>
    <w:rsid w:val="002031E8"/>
    <w:rsid w:val="00204B07"/>
    <w:rsid w:val="00206C7F"/>
    <w:rsid w:val="002224CD"/>
    <w:rsid w:val="002320D9"/>
    <w:rsid w:val="002377D0"/>
    <w:rsid w:val="00253C8B"/>
    <w:rsid w:val="002637D6"/>
    <w:rsid w:val="00265B76"/>
    <w:rsid w:val="0027057E"/>
    <w:rsid w:val="00272576"/>
    <w:rsid w:val="00276263"/>
    <w:rsid w:val="00285B50"/>
    <w:rsid w:val="0028682F"/>
    <w:rsid w:val="00292068"/>
    <w:rsid w:val="002A77D7"/>
    <w:rsid w:val="002A7DC2"/>
    <w:rsid w:val="002B1196"/>
    <w:rsid w:val="002C0BF4"/>
    <w:rsid w:val="002C7282"/>
    <w:rsid w:val="002D48FE"/>
    <w:rsid w:val="002D6596"/>
    <w:rsid w:val="002E0C31"/>
    <w:rsid w:val="002E1E1C"/>
    <w:rsid w:val="002E53E0"/>
    <w:rsid w:val="002E6C01"/>
    <w:rsid w:val="002F7394"/>
    <w:rsid w:val="0031526C"/>
    <w:rsid w:val="003163AB"/>
    <w:rsid w:val="00330217"/>
    <w:rsid w:val="00330806"/>
    <w:rsid w:val="00331478"/>
    <w:rsid w:val="003338D9"/>
    <w:rsid w:val="00333E4D"/>
    <w:rsid w:val="00335164"/>
    <w:rsid w:val="00340F63"/>
    <w:rsid w:val="00342EA5"/>
    <w:rsid w:val="00343919"/>
    <w:rsid w:val="00345E65"/>
    <w:rsid w:val="00352F00"/>
    <w:rsid w:val="00361120"/>
    <w:rsid w:val="00362A6D"/>
    <w:rsid w:val="00372EA4"/>
    <w:rsid w:val="00373324"/>
    <w:rsid w:val="00374AB7"/>
    <w:rsid w:val="00375072"/>
    <w:rsid w:val="00381CD4"/>
    <w:rsid w:val="00382147"/>
    <w:rsid w:val="003934E3"/>
    <w:rsid w:val="00395C05"/>
    <w:rsid w:val="00396685"/>
    <w:rsid w:val="003C1707"/>
    <w:rsid w:val="003C71FE"/>
    <w:rsid w:val="003C7A1E"/>
    <w:rsid w:val="003D3333"/>
    <w:rsid w:val="00402D2F"/>
    <w:rsid w:val="00411728"/>
    <w:rsid w:val="00411DF1"/>
    <w:rsid w:val="004140D2"/>
    <w:rsid w:val="004204F1"/>
    <w:rsid w:val="00433872"/>
    <w:rsid w:val="00440F88"/>
    <w:rsid w:val="0044431F"/>
    <w:rsid w:val="004453AB"/>
    <w:rsid w:val="004473E4"/>
    <w:rsid w:val="00454E50"/>
    <w:rsid w:val="0046191C"/>
    <w:rsid w:val="00475AA5"/>
    <w:rsid w:val="0047683F"/>
    <w:rsid w:val="0048262A"/>
    <w:rsid w:val="00484CE7"/>
    <w:rsid w:val="00494A0A"/>
    <w:rsid w:val="00496803"/>
    <w:rsid w:val="004B2DD5"/>
    <w:rsid w:val="004C157B"/>
    <w:rsid w:val="004C15DB"/>
    <w:rsid w:val="004E0036"/>
    <w:rsid w:val="004E2566"/>
    <w:rsid w:val="00505EA0"/>
    <w:rsid w:val="005076D6"/>
    <w:rsid w:val="00507AC2"/>
    <w:rsid w:val="00510D0D"/>
    <w:rsid w:val="0051178E"/>
    <w:rsid w:val="005129E6"/>
    <w:rsid w:val="00520A2A"/>
    <w:rsid w:val="0052446D"/>
    <w:rsid w:val="00530EFF"/>
    <w:rsid w:val="005368AD"/>
    <w:rsid w:val="0054156B"/>
    <w:rsid w:val="00546258"/>
    <w:rsid w:val="00551DC8"/>
    <w:rsid w:val="005536AD"/>
    <w:rsid w:val="005638E2"/>
    <w:rsid w:val="0056498C"/>
    <w:rsid w:val="005654D6"/>
    <w:rsid w:val="00576FEB"/>
    <w:rsid w:val="005812F0"/>
    <w:rsid w:val="00581DF2"/>
    <w:rsid w:val="005831DA"/>
    <w:rsid w:val="00583249"/>
    <w:rsid w:val="0058331A"/>
    <w:rsid w:val="00586F5E"/>
    <w:rsid w:val="00592673"/>
    <w:rsid w:val="005972C1"/>
    <w:rsid w:val="005A0F22"/>
    <w:rsid w:val="005A363A"/>
    <w:rsid w:val="005A564A"/>
    <w:rsid w:val="005C01A8"/>
    <w:rsid w:val="005C08A6"/>
    <w:rsid w:val="005C355D"/>
    <w:rsid w:val="005C4272"/>
    <w:rsid w:val="005C6F2C"/>
    <w:rsid w:val="005E5754"/>
    <w:rsid w:val="005E641B"/>
    <w:rsid w:val="005E6D85"/>
    <w:rsid w:val="005F4127"/>
    <w:rsid w:val="005F6746"/>
    <w:rsid w:val="00602DCC"/>
    <w:rsid w:val="00604B24"/>
    <w:rsid w:val="00610D4A"/>
    <w:rsid w:val="00611649"/>
    <w:rsid w:val="00613864"/>
    <w:rsid w:val="006170B3"/>
    <w:rsid w:val="00620E6B"/>
    <w:rsid w:val="00620FCF"/>
    <w:rsid w:val="00626DCA"/>
    <w:rsid w:val="006358EC"/>
    <w:rsid w:val="0063710C"/>
    <w:rsid w:val="00642423"/>
    <w:rsid w:val="006500A2"/>
    <w:rsid w:val="006643D8"/>
    <w:rsid w:val="006719D4"/>
    <w:rsid w:val="00674143"/>
    <w:rsid w:val="00676774"/>
    <w:rsid w:val="00676F78"/>
    <w:rsid w:val="006903B9"/>
    <w:rsid w:val="00692E97"/>
    <w:rsid w:val="00695C5F"/>
    <w:rsid w:val="006A7A2C"/>
    <w:rsid w:val="006A7E4E"/>
    <w:rsid w:val="006B132A"/>
    <w:rsid w:val="006B1C07"/>
    <w:rsid w:val="006B1DB3"/>
    <w:rsid w:val="006B5BE5"/>
    <w:rsid w:val="006C2FFE"/>
    <w:rsid w:val="006C77B8"/>
    <w:rsid w:val="006D41AB"/>
    <w:rsid w:val="006E146A"/>
    <w:rsid w:val="006E5167"/>
    <w:rsid w:val="006E7F66"/>
    <w:rsid w:val="006F33FF"/>
    <w:rsid w:val="006F52C6"/>
    <w:rsid w:val="0070699D"/>
    <w:rsid w:val="0071663C"/>
    <w:rsid w:val="0074118A"/>
    <w:rsid w:val="00741B99"/>
    <w:rsid w:val="007430DC"/>
    <w:rsid w:val="007501C3"/>
    <w:rsid w:val="007534FC"/>
    <w:rsid w:val="00764497"/>
    <w:rsid w:val="00764D70"/>
    <w:rsid w:val="00770E7E"/>
    <w:rsid w:val="00782531"/>
    <w:rsid w:val="00785F09"/>
    <w:rsid w:val="00787122"/>
    <w:rsid w:val="00790216"/>
    <w:rsid w:val="00791BFB"/>
    <w:rsid w:val="007938FB"/>
    <w:rsid w:val="007955E9"/>
    <w:rsid w:val="007959D3"/>
    <w:rsid w:val="007A6251"/>
    <w:rsid w:val="007C7D5D"/>
    <w:rsid w:val="007D184B"/>
    <w:rsid w:val="007D2D15"/>
    <w:rsid w:val="007D2DB7"/>
    <w:rsid w:val="007D7DEE"/>
    <w:rsid w:val="007E3F94"/>
    <w:rsid w:val="007F0E3F"/>
    <w:rsid w:val="007F5CC0"/>
    <w:rsid w:val="007F7944"/>
    <w:rsid w:val="008000AC"/>
    <w:rsid w:val="0080610E"/>
    <w:rsid w:val="00820AF4"/>
    <w:rsid w:val="008249A6"/>
    <w:rsid w:val="00824E8D"/>
    <w:rsid w:val="0082622C"/>
    <w:rsid w:val="00830983"/>
    <w:rsid w:val="008325AE"/>
    <w:rsid w:val="00833817"/>
    <w:rsid w:val="008379D6"/>
    <w:rsid w:val="00840C9B"/>
    <w:rsid w:val="00840DBD"/>
    <w:rsid w:val="008413D5"/>
    <w:rsid w:val="00844D61"/>
    <w:rsid w:val="008567A0"/>
    <w:rsid w:val="0086245A"/>
    <w:rsid w:val="0086473B"/>
    <w:rsid w:val="00883A85"/>
    <w:rsid w:val="008918B8"/>
    <w:rsid w:val="008937F9"/>
    <w:rsid w:val="00893C69"/>
    <w:rsid w:val="008974B9"/>
    <w:rsid w:val="008A41A9"/>
    <w:rsid w:val="008A56B0"/>
    <w:rsid w:val="008C01C7"/>
    <w:rsid w:val="008D1D8A"/>
    <w:rsid w:val="008D2F5D"/>
    <w:rsid w:val="008E2A4C"/>
    <w:rsid w:val="008E32DC"/>
    <w:rsid w:val="008E5625"/>
    <w:rsid w:val="008E7B45"/>
    <w:rsid w:val="008F6485"/>
    <w:rsid w:val="00900699"/>
    <w:rsid w:val="00901B80"/>
    <w:rsid w:val="0090399B"/>
    <w:rsid w:val="00920ED1"/>
    <w:rsid w:val="009232EA"/>
    <w:rsid w:val="00932D0B"/>
    <w:rsid w:val="0093454D"/>
    <w:rsid w:val="00943078"/>
    <w:rsid w:val="009625FA"/>
    <w:rsid w:val="00962611"/>
    <w:rsid w:val="00962FCE"/>
    <w:rsid w:val="00967E43"/>
    <w:rsid w:val="00967FB0"/>
    <w:rsid w:val="0097007B"/>
    <w:rsid w:val="00973379"/>
    <w:rsid w:val="009776D1"/>
    <w:rsid w:val="009827C3"/>
    <w:rsid w:val="009827F5"/>
    <w:rsid w:val="00985C92"/>
    <w:rsid w:val="00987D3E"/>
    <w:rsid w:val="00993196"/>
    <w:rsid w:val="0099374F"/>
    <w:rsid w:val="009A4E28"/>
    <w:rsid w:val="009A7A29"/>
    <w:rsid w:val="009C1FA8"/>
    <w:rsid w:val="009C202A"/>
    <w:rsid w:val="009C2525"/>
    <w:rsid w:val="009C3839"/>
    <w:rsid w:val="009D2FE8"/>
    <w:rsid w:val="009E23F1"/>
    <w:rsid w:val="009E3EDF"/>
    <w:rsid w:val="009F213A"/>
    <w:rsid w:val="009F4231"/>
    <w:rsid w:val="009F7420"/>
    <w:rsid w:val="00A02970"/>
    <w:rsid w:val="00A102EE"/>
    <w:rsid w:val="00A12B05"/>
    <w:rsid w:val="00A265FD"/>
    <w:rsid w:val="00A3083F"/>
    <w:rsid w:val="00A44757"/>
    <w:rsid w:val="00A47839"/>
    <w:rsid w:val="00A47D36"/>
    <w:rsid w:val="00A50151"/>
    <w:rsid w:val="00A5676D"/>
    <w:rsid w:val="00A778EC"/>
    <w:rsid w:val="00A7797C"/>
    <w:rsid w:val="00A84958"/>
    <w:rsid w:val="00A859A4"/>
    <w:rsid w:val="00AA272A"/>
    <w:rsid w:val="00AA42C8"/>
    <w:rsid w:val="00AA71EC"/>
    <w:rsid w:val="00AA7F45"/>
    <w:rsid w:val="00AA7F9C"/>
    <w:rsid w:val="00AB0F67"/>
    <w:rsid w:val="00AD0C6C"/>
    <w:rsid w:val="00AD378C"/>
    <w:rsid w:val="00AD587D"/>
    <w:rsid w:val="00AE3696"/>
    <w:rsid w:val="00AE49DF"/>
    <w:rsid w:val="00AE52B5"/>
    <w:rsid w:val="00AE5C58"/>
    <w:rsid w:val="00AE7198"/>
    <w:rsid w:val="00AF1816"/>
    <w:rsid w:val="00B0306E"/>
    <w:rsid w:val="00B212A7"/>
    <w:rsid w:val="00B30A61"/>
    <w:rsid w:val="00B35F2C"/>
    <w:rsid w:val="00B411A3"/>
    <w:rsid w:val="00B4374D"/>
    <w:rsid w:val="00B4461B"/>
    <w:rsid w:val="00B5350D"/>
    <w:rsid w:val="00B556A0"/>
    <w:rsid w:val="00B60010"/>
    <w:rsid w:val="00B62288"/>
    <w:rsid w:val="00B73358"/>
    <w:rsid w:val="00B7383A"/>
    <w:rsid w:val="00B803B3"/>
    <w:rsid w:val="00B80703"/>
    <w:rsid w:val="00BA4386"/>
    <w:rsid w:val="00BA4F21"/>
    <w:rsid w:val="00BB235D"/>
    <w:rsid w:val="00BC061C"/>
    <w:rsid w:val="00BC0FD1"/>
    <w:rsid w:val="00BC2729"/>
    <w:rsid w:val="00BC79B0"/>
    <w:rsid w:val="00BD701B"/>
    <w:rsid w:val="00BE0529"/>
    <w:rsid w:val="00BE3407"/>
    <w:rsid w:val="00BE476C"/>
    <w:rsid w:val="00BE542F"/>
    <w:rsid w:val="00C03FF2"/>
    <w:rsid w:val="00C11CA2"/>
    <w:rsid w:val="00C14675"/>
    <w:rsid w:val="00C27726"/>
    <w:rsid w:val="00C31AD1"/>
    <w:rsid w:val="00C50D94"/>
    <w:rsid w:val="00C54B67"/>
    <w:rsid w:val="00C57812"/>
    <w:rsid w:val="00C65378"/>
    <w:rsid w:val="00C66D4F"/>
    <w:rsid w:val="00C71720"/>
    <w:rsid w:val="00C770CA"/>
    <w:rsid w:val="00C83380"/>
    <w:rsid w:val="00C87B86"/>
    <w:rsid w:val="00C919EC"/>
    <w:rsid w:val="00C942DC"/>
    <w:rsid w:val="00CA2B15"/>
    <w:rsid w:val="00CA3068"/>
    <w:rsid w:val="00CA71DC"/>
    <w:rsid w:val="00CC5240"/>
    <w:rsid w:val="00CD3996"/>
    <w:rsid w:val="00CD653E"/>
    <w:rsid w:val="00CD6DB6"/>
    <w:rsid w:val="00CE099F"/>
    <w:rsid w:val="00CE1739"/>
    <w:rsid w:val="00CE1DC6"/>
    <w:rsid w:val="00CF2EF3"/>
    <w:rsid w:val="00CF4CC5"/>
    <w:rsid w:val="00D22545"/>
    <w:rsid w:val="00D333F8"/>
    <w:rsid w:val="00D4057A"/>
    <w:rsid w:val="00D7058B"/>
    <w:rsid w:val="00D9280C"/>
    <w:rsid w:val="00D93775"/>
    <w:rsid w:val="00DA23FF"/>
    <w:rsid w:val="00DA2E2C"/>
    <w:rsid w:val="00DB0CE0"/>
    <w:rsid w:val="00DB1B18"/>
    <w:rsid w:val="00DB6BFB"/>
    <w:rsid w:val="00DC1899"/>
    <w:rsid w:val="00DC4744"/>
    <w:rsid w:val="00DC5B70"/>
    <w:rsid w:val="00DC5F03"/>
    <w:rsid w:val="00DC654D"/>
    <w:rsid w:val="00DD2B90"/>
    <w:rsid w:val="00DD35FF"/>
    <w:rsid w:val="00DD6E59"/>
    <w:rsid w:val="00DE51BB"/>
    <w:rsid w:val="00E00165"/>
    <w:rsid w:val="00E05FC5"/>
    <w:rsid w:val="00E0778D"/>
    <w:rsid w:val="00E07A1C"/>
    <w:rsid w:val="00E135FA"/>
    <w:rsid w:val="00E16206"/>
    <w:rsid w:val="00E24995"/>
    <w:rsid w:val="00E26E78"/>
    <w:rsid w:val="00E334F0"/>
    <w:rsid w:val="00E34B25"/>
    <w:rsid w:val="00E37DA4"/>
    <w:rsid w:val="00E40CED"/>
    <w:rsid w:val="00E4179B"/>
    <w:rsid w:val="00E51CC6"/>
    <w:rsid w:val="00E51D8B"/>
    <w:rsid w:val="00E5256C"/>
    <w:rsid w:val="00E57450"/>
    <w:rsid w:val="00E70583"/>
    <w:rsid w:val="00E76512"/>
    <w:rsid w:val="00E875BB"/>
    <w:rsid w:val="00E91ECE"/>
    <w:rsid w:val="00E97A6F"/>
    <w:rsid w:val="00EA1512"/>
    <w:rsid w:val="00EA1869"/>
    <w:rsid w:val="00EA1F6A"/>
    <w:rsid w:val="00EB3AE6"/>
    <w:rsid w:val="00EC2483"/>
    <w:rsid w:val="00EC3F78"/>
    <w:rsid w:val="00ED34BE"/>
    <w:rsid w:val="00ED4676"/>
    <w:rsid w:val="00ED557B"/>
    <w:rsid w:val="00EE1531"/>
    <w:rsid w:val="00EE4368"/>
    <w:rsid w:val="00EE6D30"/>
    <w:rsid w:val="00EF3116"/>
    <w:rsid w:val="00F01C33"/>
    <w:rsid w:val="00F04853"/>
    <w:rsid w:val="00F071DC"/>
    <w:rsid w:val="00F1166D"/>
    <w:rsid w:val="00F117C6"/>
    <w:rsid w:val="00F15447"/>
    <w:rsid w:val="00F17881"/>
    <w:rsid w:val="00F20B7A"/>
    <w:rsid w:val="00F25556"/>
    <w:rsid w:val="00F26A9C"/>
    <w:rsid w:val="00F27C4D"/>
    <w:rsid w:val="00F31CDD"/>
    <w:rsid w:val="00F36ADC"/>
    <w:rsid w:val="00F40FD3"/>
    <w:rsid w:val="00F41385"/>
    <w:rsid w:val="00F41E06"/>
    <w:rsid w:val="00F41F96"/>
    <w:rsid w:val="00F47949"/>
    <w:rsid w:val="00F51E9E"/>
    <w:rsid w:val="00F7397D"/>
    <w:rsid w:val="00F87B89"/>
    <w:rsid w:val="00FA53FA"/>
    <w:rsid w:val="00FB614C"/>
    <w:rsid w:val="00FB782F"/>
    <w:rsid w:val="00FC2956"/>
    <w:rsid w:val="00FC50A5"/>
    <w:rsid w:val="00FC7667"/>
    <w:rsid w:val="00FD072F"/>
    <w:rsid w:val="00FD697C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2D3"/>
  <w15:docId w15:val="{B578E9F3-D9AC-40C8-A7A4-23C6D8AA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link w:val="20"/>
    <w:uiPriority w:val="9"/>
    <w:unhideWhenUsed/>
    <w:qFormat/>
    <w:rsid w:val="00FB782F"/>
    <w:pPr>
      <w:suppressAutoHyphens w:val="0"/>
      <w:spacing w:before="240" w:after="12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heading 3"/>
    <w:link w:val="30"/>
    <w:uiPriority w:val="9"/>
    <w:unhideWhenUsed/>
    <w:qFormat/>
    <w:rsid w:val="00FB782F"/>
    <w:pPr>
      <w:suppressAutoHyphens w:val="0"/>
      <w:spacing w:before="180" w:after="1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table" w:styleId="a6">
    <w:name w:val="Table Grid"/>
    <w:basedOn w:val="a1"/>
    <w:uiPriority w:val="39"/>
    <w:rsid w:val="00DD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179B"/>
  </w:style>
  <w:style w:type="paragraph" w:styleId="a9">
    <w:name w:val="footer"/>
    <w:basedOn w:val="a"/>
    <w:link w:val="aa"/>
    <w:uiPriority w:val="99"/>
    <w:unhideWhenUsed/>
    <w:rsid w:val="00E4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79B"/>
  </w:style>
  <w:style w:type="table" w:customStyle="1" w:styleId="1">
    <w:name w:val="Сетка таблицы1"/>
    <w:basedOn w:val="a1"/>
    <w:next w:val="a6"/>
    <w:uiPriority w:val="59"/>
    <w:rsid w:val="00454E5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37DA4"/>
    <w:rPr>
      <w:rFonts w:ascii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578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78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578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78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7812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C248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C248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B782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82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f3">
    <w:name w:val="List Paragraph"/>
    <w:qFormat/>
    <w:rsid w:val="00FB782F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62C8-61A5-4BF9-930F-F08676E0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Обухов С.П.</Manager>
  <Company>КПРФ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Сергей Павлович</dc:creator>
  <dc:description/>
  <cp:lastModifiedBy>ACER</cp:lastModifiedBy>
  <cp:revision>2</cp:revision>
  <cp:lastPrinted>2025-10-20T06:51:00Z</cp:lastPrinted>
  <dcterms:created xsi:type="dcterms:W3CDTF">2026-04-29T14:29:00Z</dcterms:created>
  <dcterms:modified xsi:type="dcterms:W3CDTF">2026-04-29T14:29:00Z</dcterms:modified>
  <dc:language>ru-RU</dc:language>
</cp:coreProperties>
</file>