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 xml:space="preserve">Представляем доклад ЦИПКР по итогам мониторингового Всероссийского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экспресс–опроса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общественного мнения, посвященного анализу восприятия поправок в Конституцию от Президента и КПРФ.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Центр исследований политической культуры совместно с Отделом ЦК КПРФ по проведению избирательных кампаний, а также Отделом информационных технологий провели в марте 2020 года Всероссийский экспресс–опрос населения.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исследования замерено восприятие поправок в Конституцию от президента и КПРФ, готовности граждан участвовать в конституционном голосовании 22 апреля 2020 года.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Также рассмотрена реакция граждан на возможную модель действий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 св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язи с принятием президентских поправок в Конституцию.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Метод опроса: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b/>
          <w:bCs/>
          <w:color w:val="222222"/>
          <w:sz w:val="21"/>
          <w:szCs w:val="21"/>
          <w:u w:val="single"/>
        </w:rPr>
        <w:t>Опрос ЦИПКР–07-03/2020 </w:t>
      </w:r>
      <w:r>
        <w:rPr>
          <w:rStyle w:val="a5"/>
          <w:rFonts w:ascii="Arial" w:hAnsi="Arial" w:cs="Arial"/>
          <w:color w:val="222222"/>
          <w:sz w:val="21"/>
          <w:szCs w:val="21"/>
        </w:rPr>
        <w:t>– 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роботизированные </w:t>
      </w:r>
      <w:r>
        <w:rPr>
          <w:rFonts w:ascii="Arial" w:hAnsi="Arial" w:cs="Arial"/>
          <w:color w:val="222222"/>
          <w:sz w:val="21"/>
          <w:szCs w:val="21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урбаностратам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Погрешность не превышает 3,5%.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Телефонные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Российской Федерации.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Опрошены респонденты из 82 субъектов РФ, 70 крупных и малых городов, 198 поселений. Отобрано 1500 полных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валидных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анкет, соответствующих доле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урбанострат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половозрастной структуре населения РФ.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Период проведения опросов: 5-7 марта 2020 г.</w:t>
      </w:r>
    </w:p>
    <w:p w:rsidR="00BB637E" w:rsidRDefault="00BB637E" w:rsidP="00BB637E">
      <w:pPr>
        <w:pStyle w:val="3"/>
        <w:spacing w:before="0" w:after="1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I. Осведомленность граждан в сути правки Конституции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1657350"/>
            <wp:effectExtent l="19050" t="0" r="0" b="0"/>
            <wp:docPr id="1" name="Рисунок 1" descr="http://cipkr.ru/wp-content/uploads/2020/03/2ac5be19-ddf0-4e76-ac43-6f15a1867c37-300x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3/2ac5be19-ddf0-4e76-ac43-6f15a1867c37-300x1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Для понимания степени вовлеченности граждан в процесс обсуждения конституционных трансформаций респондентам был задан вопрос об осведомленности в сути президентских правок Конституции (табл. 1).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1.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Вы знаете, какие основные изменения предполагает Президент внести в Конституцию?</w:t>
      </w:r>
    </w:p>
    <w:tbl>
      <w:tblPr>
        <w:tblW w:w="8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4"/>
        <w:gridCol w:w="1134"/>
        <w:gridCol w:w="1482"/>
        <w:gridCol w:w="1071"/>
        <w:gridCol w:w="1134"/>
        <w:gridCol w:w="992"/>
      </w:tblGrid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проц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>.</w:t>
            </w:r>
          </w:p>
        </w:tc>
        <w:tc>
          <w:tcPr>
            <w:tcW w:w="467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т.ч. среди избирателей парламентских партий</w:t>
            </w:r>
          </w:p>
        </w:tc>
      </w:tr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ЕР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СР</w:t>
            </w:r>
          </w:p>
        </w:tc>
      </w:tr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1.Да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37</w:t>
            </w:r>
          </w:p>
        </w:tc>
        <w:tc>
          <w:tcPr>
            <w:tcW w:w="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39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29</w:t>
            </w:r>
          </w:p>
        </w:tc>
      </w:tr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2.Нет, не в курсе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29</w:t>
            </w:r>
          </w:p>
        </w:tc>
        <w:tc>
          <w:tcPr>
            <w:tcW w:w="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24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</w:t>
            </w:r>
          </w:p>
        </w:tc>
      </w:tr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3.Что-то слышал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33</w:t>
            </w:r>
          </w:p>
        </w:tc>
        <w:tc>
          <w:tcPr>
            <w:tcW w:w="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36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</w:t>
            </w:r>
          </w:p>
        </w:tc>
      </w:tr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4.Иное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/Б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ез ответа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</w:tr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п.1+п.3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70</w:t>
            </w:r>
          </w:p>
        </w:tc>
        <w:tc>
          <w:tcPr>
            <w:tcW w:w="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75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71</w:t>
            </w:r>
          </w:p>
        </w:tc>
      </w:tr>
      <w:tr w:rsidR="00BB637E" w:rsidTr="00BB637E">
        <w:tc>
          <w:tcPr>
            <w:tcW w:w="24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Соотношение (п.1+п.3)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п.2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2,4:1</w:t>
            </w:r>
          </w:p>
        </w:tc>
        <w:tc>
          <w:tcPr>
            <w:tcW w:w="1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3:1</w:t>
            </w:r>
          </w:p>
        </w:tc>
        <w:tc>
          <w:tcPr>
            <w:tcW w:w="1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2:1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1,4:1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2,4:1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видим, 70 проц. граждан в той или иной степени осведомлены о конституционных поправках Путина. Причем, уверенное «да» говорят лишь 37 проц. Не в курсе конституционных трансформаций – почти треть респондентов (29 проц.). Соотношение «осведомленных» к «неосведомленным» - </w:t>
      </w:r>
      <w:r>
        <w:rPr>
          <w:rStyle w:val="a5"/>
          <w:rFonts w:ascii="Arial" w:hAnsi="Arial" w:cs="Arial"/>
          <w:color w:val="222222"/>
          <w:sz w:val="21"/>
          <w:szCs w:val="21"/>
        </w:rPr>
        <w:t>2,4:1 в пользу осведомленных.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анализировать электораты парламентских партий, то наивысшее соотношение «осведомленных» к «неосведомленным» у сторонников «Единой России» - </w:t>
      </w:r>
      <w:r>
        <w:rPr>
          <w:rStyle w:val="a5"/>
          <w:rFonts w:ascii="Arial" w:hAnsi="Arial" w:cs="Arial"/>
          <w:color w:val="222222"/>
          <w:sz w:val="21"/>
          <w:szCs w:val="21"/>
        </w:rPr>
        <w:t>3:1. </w:t>
      </w:r>
      <w:r>
        <w:rPr>
          <w:rFonts w:ascii="Arial" w:hAnsi="Arial" w:cs="Arial"/>
          <w:color w:val="222222"/>
          <w:sz w:val="21"/>
          <w:szCs w:val="21"/>
        </w:rPr>
        <w:t>Хуже всего – у сторонников ЛДПР - </w:t>
      </w:r>
      <w:r>
        <w:rPr>
          <w:rStyle w:val="a5"/>
          <w:rFonts w:ascii="Arial" w:hAnsi="Arial" w:cs="Arial"/>
          <w:color w:val="222222"/>
          <w:sz w:val="21"/>
          <w:szCs w:val="21"/>
        </w:rPr>
        <w:t>1,4:1. </w:t>
      </w:r>
      <w:r>
        <w:rPr>
          <w:rFonts w:ascii="Arial" w:hAnsi="Arial" w:cs="Arial"/>
          <w:color w:val="222222"/>
          <w:sz w:val="21"/>
          <w:szCs w:val="21"/>
        </w:rPr>
        <w:t>В электорате КПРФ на одного «неосведомленного» приходится два «осведомленных», а среди сторонников «Справедливой России» показатели такие же, как и в целом по избирательному корпусу.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Заметим,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опубликованные методички для региональных властей требуют от них уровень осведомленности в 90 проц. Как видим, граждане еще не дотягивают для высоких стандартов, сформулированных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политадминистраторами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партии власти.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исследования было </w:t>
      </w:r>
      <w:r>
        <w:rPr>
          <w:rStyle w:val="a5"/>
          <w:rFonts w:ascii="Arial" w:hAnsi="Arial" w:cs="Arial"/>
          <w:color w:val="222222"/>
          <w:sz w:val="21"/>
          <w:szCs w:val="21"/>
        </w:rPr>
        <w:t>прозондировано понимание гражданами сути президентских поправок в Конституцию</w:t>
      </w:r>
      <w:r>
        <w:rPr>
          <w:rFonts w:ascii="Arial" w:hAnsi="Arial" w:cs="Arial"/>
          <w:color w:val="222222"/>
          <w:sz w:val="21"/>
          <w:szCs w:val="21"/>
        </w:rPr>
        <w:t>. Респондентам было предложено оценить три версии цели конституционной трансформации: сохранение власти Путина, усиление социальных гарантий гражданам и обе версии в одном флаконе (табл. 2).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1609725"/>
            <wp:effectExtent l="19050" t="0" r="0" b="0"/>
            <wp:docPr id="2" name="Рисунок 2" descr="http://cipkr.ru/wp-content/uploads/2020/03/IMG_0352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3/IMG_0352-300x1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2.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Часто можно услышать мнение, что социальные поправки Путина в Конституцию – это лишь прикрытие для дальнейшего сохранения Путина во власти. Ваше мнение?</w:t>
      </w:r>
    </w:p>
    <w:tbl>
      <w:tblPr>
        <w:tblW w:w="90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946"/>
        <w:gridCol w:w="440"/>
        <w:gridCol w:w="1112"/>
        <w:gridCol w:w="899"/>
        <w:gridCol w:w="909"/>
      </w:tblGrid>
      <w:tr w:rsidR="00BB637E" w:rsidTr="00BB637E">
        <w:tc>
          <w:tcPr>
            <w:tcW w:w="4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проц.</w:t>
            </w:r>
          </w:p>
        </w:tc>
        <w:tc>
          <w:tcPr>
            <w:tcW w:w="3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т.ч. среди избирателей парламентских партий</w:t>
            </w:r>
          </w:p>
        </w:tc>
      </w:tr>
      <w:tr w:rsidR="00BB637E" w:rsidTr="00BB637E">
        <w:tc>
          <w:tcPr>
            <w:tcW w:w="4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ЕР</w:t>
            </w:r>
          </w:p>
        </w:tc>
        <w:tc>
          <w:tcPr>
            <w:tcW w:w="1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СР</w:t>
            </w:r>
          </w:p>
        </w:tc>
      </w:tr>
      <w:tr w:rsidR="00BB637E" w:rsidTr="00BB637E">
        <w:tc>
          <w:tcPr>
            <w:tcW w:w="4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1, Для усиления социальных гарантий людям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</w:t>
            </w:r>
          </w:p>
        </w:tc>
        <w:tc>
          <w:tcPr>
            <w:tcW w:w="1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26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24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</w:t>
            </w:r>
          </w:p>
        </w:tc>
      </w:tr>
      <w:tr w:rsidR="00BB637E" w:rsidTr="00BB637E">
        <w:tc>
          <w:tcPr>
            <w:tcW w:w="4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2, В интересах сохранения власти Путина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1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34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</w:tr>
      <w:tr w:rsidR="00BB637E" w:rsidTr="00BB637E">
        <w:tc>
          <w:tcPr>
            <w:tcW w:w="4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3, И то, и другое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34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</w:t>
            </w:r>
          </w:p>
        </w:tc>
        <w:tc>
          <w:tcPr>
            <w:tcW w:w="1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30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47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41</w:t>
            </w:r>
          </w:p>
        </w:tc>
      </w:tr>
      <w:tr w:rsidR="00BB637E" w:rsidTr="00BB637E">
        <w:tc>
          <w:tcPr>
            <w:tcW w:w="4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4. Не знаю/затрудняюсь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/ И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ное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</w:t>
            </w:r>
          </w:p>
        </w:tc>
        <w:tc>
          <w:tcPr>
            <w:tcW w:w="11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8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Как видно, почти треть граждан свято верит, что правки Конституции затеяны ради усиления социальных гарантий гражданам</w:t>
      </w:r>
      <w:r>
        <w:rPr>
          <w:rFonts w:ascii="Arial" w:hAnsi="Arial" w:cs="Arial"/>
          <w:color w:val="222222"/>
          <w:sz w:val="21"/>
          <w:szCs w:val="21"/>
        </w:rPr>
        <w:t>. Больше всего таких оптимистов в электорате «Единой России» (51 проц.). А меньше всего верят в благие намерения партии власти избиратели КПРФ и ЛДПР (26 и 24 проц., соответственно).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lastRenderedPageBreak/>
        <w:t>А вот подоплеку в виде стремления усилить личную власть Путина в конституционных поправках усматривает каждый четвертый избиратель</w:t>
      </w:r>
      <w:r>
        <w:rPr>
          <w:rFonts w:ascii="Arial" w:hAnsi="Arial" w:cs="Arial"/>
          <w:color w:val="222222"/>
          <w:sz w:val="21"/>
          <w:szCs w:val="21"/>
        </w:rPr>
        <w:t>. Причем, более всего таких в электорате КПРФ (34 проц.). Менее всего – среди избирателей «Единой России» (8 проц.).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 и еще треть избирателей (34 проц.) видит оба мотива в конституционных поправках Президента: и социальную направленность, и личную заинтересованность Путина укрепить свою президентскую власть.</w:t>
      </w:r>
    </w:p>
    <w:p w:rsidR="00BB637E" w:rsidRDefault="00BB637E" w:rsidP="00BB637E">
      <w:pPr>
        <w:pStyle w:val="3"/>
        <w:spacing w:before="0" w:after="1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II. Возможен ли «казус де Голля» на российском конституционном референдуме?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исследования, респонденты ответили на традиционный вопрос о намерении участвовать во всенародном голосовании по правке Конституции.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1600200"/>
            <wp:effectExtent l="19050" t="0" r="0" b="0"/>
            <wp:docPr id="3" name="Рисунок 3" descr="http://cipkr.ru/wp-content/uploads/2020/03/IMG_0698-300x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3/IMG_0698-300x1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Понятно, что в условиях, когда на вопросы интервьюера соглашаются отвечать преимущественно политические активные граждане, а те, кто традиционно не ходят на участки в опросах отказываются участвовать, следует к результатам исследования вводить поправочные эмпирические коэффициенты. Но, сначала полученные данные (табл. 3).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3.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На 22 апреля назначено общероссийское голосование по поправкам в Конституцию, Вы намерены участвовать в голосовании?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2"/>
        <w:gridCol w:w="1331"/>
        <w:gridCol w:w="646"/>
        <w:gridCol w:w="1454"/>
        <w:gridCol w:w="1660"/>
        <w:gridCol w:w="1942"/>
      </w:tblGrid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проц.</w:t>
            </w:r>
          </w:p>
        </w:tc>
        <w:tc>
          <w:tcPr>
            <w:tcW w:w="550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т.ч. среди избирателей парламентских партий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ЕР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1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СР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72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49</w:t>
            </w:r>
          </w:p>
        </w:tc>
        <w:tc>
          <w:tcPr>
            <w:tcW w:w="1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54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45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1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24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Пока не решил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21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</w:t>
            </w:r>
          </w:p>
        </w:tc>
        <w:tc>
          <w:tcPr>
            <w:tcW w:w="1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27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31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Иное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1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0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0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Декларируют готовность прийти на всенародное голосование 59 проц. респондентов. Среди избирателей КПРФ и «Справедливой России» таких менее половины (49 и 45 проц., соответственно). Самый активный избиратель у Единой России. Здесь 72 проц. сторонников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готовы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придти к урнам 22 апреля года. Более половины избирателей ЛДПР также лояльно относятся к участию во всенародном голосовании.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Учитывая традиционный поправочный коэффициент 0,55-0,6 к декларациям о явке в ходе опросов ЦИПКР при сопоставлении с реальными результатами, </w:t>
      </w:r>
      <w:r>
        <w:rPr>
          <w:rStyle w:val="a5"/>
          <w:rFonts w:ascii="Arial" w:hAnsi="Arial" w:cs="Arial"/>
          <w:color w:val="222222"/>
          <w:sz w:val="21"/>
          <w:szCs w:val="21"/>
          <w:u w:val="single"/>
        </w:rPr>
        <w:t>можно предположить нынешней уровень готовности к явке на референдум на уровне 32-35 проц. «твердо решивших» участников.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оказалось, для респондентов довольно неожиданной оказалась ситуация, что им придется голосовать комплексно сразу по всем поправкам «да» или «нет». Видимо, этим объясняется такая огромная доля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неопределившихся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(табл. 4).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«Да» на всенародном голосовании готовы пока сказать лишь 29 проц. от всех избирателей (53 проц. сторонников «ЕР», лишь 18 проц. избирателей КПРФ и по 23 проц. сторонников ЛДПР и «Справедливой России»).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Таблица 4.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На общероссийском голосовании нужно будет проголосовать либо «Да», либо «Нет» в целом по всем поправкам, Как Вы проголосуете?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4"/>
        <w:gridCol w:w="1753"/>
        <w:gridCol w:w="1984"/>
        <w:gridCol w:w="1290"/>
        <w:gridCol w:w="1086"/>
        <w:gridCol w:w="992"/>
        <w:gridCol w:w="851"/>
      </w:tblGrid>
      <w:tr w:rsidR="00BB637E" w:rsidTr="00BB637E">
        <w:tc>
          <w:tcPr>
            <w:tcW w:w="2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1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От всех опрошенных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От намеренных голосовать</w:t>
            </w:r>
          </w:p>
        </w:tc>
        <w:tc>
          <w:tcPr>
            <w:tcW w:w="421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т.ч. среди избирателей парламентских партий (в проц. от всех опрошенных)</w:t>
            </w:r>
          </w:p>
        </w:tc>
      </w:tr>
      <w:tr w:rsidR="00BB637E" w:rsidTr="00BB637E">
        <w:tc>
          <w:tcPr>
            <w:tcW w:w="2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 проц.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 проц.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ЕР</w:t>
            </w:r>
          </w:p>
        </w:tc>
        <w:tc>
          <w:tcPr>
            <w:tcW w:w="1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СР</w:t>
            </w:r>
          </w:p>
        </w:tc>
      </w:tr>
      <w:tr w:rsidR="00BB637E" w:rsidTr="00BB637E">
        <w:tc>
          <w:tcPr>
            <w:tcW w:w="2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«Да»</w:t>
            </w:r>
          </w:p>
        </w:tc>
        <w:tc>
          <w:tcPr>
            <w:tcW w:w="1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29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53</w:t>
            </w:r>
          </w:p>
        </w:tc>
        <w:tc>
          <w:tcPr>
            <w:tcW w:w="1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</w:tr>
      <w:tr w:rsidR="00BB637E" w:rsidTr="00BB637E">
        <w:tc>
          <w:tcPr>
            <w:tcW w:w="2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«Нет»</w:t>
            </w:r>
          </w:p>
        </w:tc>
        <w:tc>
          <w:tcPr>
            <w:tcW w:w="1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</w:tr>
      <w:tr w:rsidR="00BB637E" w:rsidTr="00BB637E">
        <w:tc>
          <w:tcPr>
            <w:tcW w:w="2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Пока не решил</w:t>
            </w:r>
          </w:p>
        </w:tc>
        <w:tc>
          <w:tcPr>
            <w:tcW w:w="1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45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42</w:t>
            </w:r>
          </w:p>
        </w:tc>
        <w:tc>
          <w:tcPr>
            <w:tcW w:w="1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56</w:t>
            </w:r>
          </w:p>
        </w:tc>
      </w:tr>
      <w:tr w:rsidR="00BB637E" w:rsidTr="00BB637E">
        <w:tc>
          <w:tcPr>
            <w:tcW w:w="21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На выборы не хожу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/ И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ное</w:t>
            </w:r>
          </w:p>
        </w:tc>
        <w:tc>
          <w:tcPr>
            <w:tcW w:w="17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12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1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Отметим, что от определившихся с участием в голосовании «Да» конституционным изменениям твердо готовы сказать лишь две пятых избирателей. Почти половина – не определились.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Понятно, что впереди более месяца агитации, на которую выделен 1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млрд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руб. Но общая ситуация для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политадминистраторов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партии власти явно не простая.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0" distR="0">
            <wp:extent cx="2419350" cy="2857500"/>
            <wp:effectExtent l="19050" t="0" r="0" b="0"/>
            <wp:docPr id="4" name="Рисунок 4" descr="http://cipkr.ru/wp-content/uploads/2020/03/IMG_0684-25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3/IMG_0684-254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На фото: В.В.Путин и М.С.Горбачев в 1995 г.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таких условиях вполне возможно обсуждение вероятности варианта французского конституционного референдума 1969 года или «казуса де Голля», когда национальный герой Франции генерал де Голль был вынужден уйти в отставку после провала голосования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общем-то, не самым животрепещущим для нации проблемам – формированию регионов и реформированию сената.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что в январском мониторинговом опросе граждан спросили об их оценке намерений президента Путина изменить Основной закон (табл. 5).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5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Президент внес в Госдуму масштабные поправки в Конституцию. Как Вы оцениваете их? Опрос за январь, 2020 г.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9"/>
        <w:gridCol w:w="993"/>
        <w:gridCol w:w="2268"/>
      </w:tblGrid>
      <w:tr w:rsidR="00BB637E" w:rsidTr="00BB637E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проц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>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</w:pPr>
            <w:proofErr w:type="spellStart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Справочно</w:t>
            </w:r>
            <w:proofErr w:type="spell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:</w:t>
            </w:r>
          </w:p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lastRenderedPageBreak/>
              <w:t>Сторонники КПРФ</w:t>
            </w:r>
          </w:p>
        </w:tc>
      </w:tr>
      <w:tr w:rsidR="00BB637E" w:rsidTr="00BB637E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Положительная оценка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45</w:t>
            </w:r>
          </w:p>
        </w:tc>
      </w:tr>
      <w:tr w:rsidR="00BB637E" w:rsidTr="00BB637E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Нейтральная оценка, равнодушие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27</w:t>
            </w:r>
          </w:p>
        </w:tc>
      </w:tr>
      <w:tr w:rsidR="00BB637E" w:rsidTr="00BB637E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Негативная оценка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</w:tr>
      <w:tr w:rsidR="00BB637E" w:rsidTr="00BB637E">
        <w:tc>
          <w:tcPr>
            <w:tcW w:w="68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Ничего не слышал об этом/ Недостаточно знаю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/ З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атрудняюсь ответить/ Иное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это намерение было почти половиной респондентов тогда оценено положительно. А вот, когда обозначились уже конкретные поправки, то граждане впали в неопределенность. Лишь четверть-треть готовы сказать сразу президенту 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«Да»</w:t>
      </w:r>
      <w:r>
        <w:rPr>
          <w:rFonts w:ascii="Arial" w:hAnsi="Arial" w:cs="Arial"/>
          <w:color w:val="222222"/>
          <w:sz w:val="21"/>
          <w:szCs w:val="21"/>
        </w:rPr>
        <w:t>. Эта ситуация должна тревожить политических администраторов партии власти.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 xml:space="preserve">Как видим, в январском и мартовском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опросах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>, доля граждан, негативно относящихся к президентским конституционным инициативам стабильна – 17-18 проц. А вот избиратель, склонный поддержать инициированные Путиным правки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(более 48% опрошенных), в феврале лишь на две трети заявил о готовности сказать 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«Да»</w:t>
      </w:r>
      <w:r>
        <w:rPr>
          <w:rFonts w:ascii="Arial" w:hAnsi="Arial" w:cs="Arial"/>
          <w:color w:val="222222"/>
          <w:sz w:val="21"/>
          <w:szCs w:val="21"/>
        </w:rPr>
        <w:t>. И это явно не более половины избирателей, необходимых для поддержки предложений на полноценном конституционном референдуме. Вообще, дезориентация даже лояльного Путину избирателя – это значимый симптом, свидетельствующий об отсутствии общественной мобилизации за президентские конституционные поправки.</w:t>
      </w:r>
    </w:p>
    <w:p w:rsidR="00BB637E" w:rsidRDefault="00BB637E" w:rsidP="00BB637E">
      <w:pPr>
        <w:pStyle w:val="3"/>
        <w:spacing w:before="0" w:after="1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III. Осведомленность о конституционных предложениях КПРФ и уровень поддержки конституционных поправок Компартии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Активные граждане внимательно следят за деятельностью и позицией КПРФ на фоне обсуждаемых конституционных изменений.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lastRenderedPageBreak/>
        <w:drawing>
          <wp:inline distT="0" distB="0" distL="0" distR="0">
            <wp:extent cx="2857500" cy="2857500"/>
            <wp:effectExtent l="19050" t="0" r="0" b="0"/>
            <wp:docPr id="5" name="Рисунок 5" descr="http://cipkr.ru/wp-content/uploads/2020/03/IMG_036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3/IMG_0362-300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исследования был замерен масштаб влияния на общественное мнение кампании КПРФ по продвижению своих поправок в Конституцию (табл.6).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6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Знаете ли Вы об альтернативных поправках в Конституцию, которые предлагает партия КПРФ?</w:t>
      </w:r>
    </w:p>
    <w:tbl>
      <w:tblPr>
        <w:tblW w:w="98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9"/>
        <w:gridCol w:w="1147"/>
        <w:gridCol w:w="586"/>
        <w:gridCol w:w="1455"/>
        <w:gridCol w:w="1219"/>
        <w:gridCol w:w="1806"/>
      </w:tblGrid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 проц.</w:t>
            </w:r>
          </w:p>
        </w:tc>
        <w:tc>
          <w:tcPr>
            <w:tcW w:w="492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т.ч. среди избирателей парламентских партий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ЕР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СР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1.Да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26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2.Нет, не в курсе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84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66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91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90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3.Что-то слышал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4.Иное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/Б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Общая осведомленность</w:t>
            </w:r>
          </w:p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п.1+п.3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1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31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Как видно, каждый третий избиратель КПРФ в курсе или что-то слышал о поправках КПРФ. Среди всех избирателей таких лишь 13 проц. Менее всего осведомлены избиратели ЛДПР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– по 8 проц. У сторонников ЕР осведомленность 10 проц.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сравнивать осведомленность по президентским конституционным поправкам и поправкам КПРФ, то здесь колоссальный разрыв в мощи и эффективности пропагандистского аппарата (гр. 1).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График 1.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Сравнение общей осведомленности граждан по президентским поправкам в Конституцию и поправкам КПРФ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866775"/>
            <wp:effectExtent l="19050" t="0" r="0" b="0"/>
            <wp:docPr id="6" name="Рисунок 6" descr="http://cipkr.ru/wp-content/uploads/2020/03/48-3-1700-300x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3/48-3-1700-300x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Справедливости ради, следует отметить, что показатель осведомленности по поправкам КПРФ соответствует ресурсам, вложенным в эту кампанию. Более того, он даже говорит о более эффективной работе. Во-первых, тираж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спецвыпуска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«Правды» и региональных партийных газет – на треть меньше обычного. Во-вторых, сама по себе конституционная тема, разогреваемая властями, активизирует сторонников КПРФ и оппозиции.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Для сравнения, приведем данные опроса ЦИПКР на финише президентской кампании 2018 года об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осведомленности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 программах кандидатов (табл. 7).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7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Вы что-нибудь слышали про программы кандидатов в президенты?</w:t>
      </w:r>
    </w:p>
    <w:tbl>
      <w:tblPr>
        <w:tblW w:w="90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4"/>
        <w:gridCol w:w="1192"/>
        <w:gridCol w:w="923"/>
        <w:gridCol w:w="993"/>
        <w:gridCol w:w="1134"/>
      </w:tblGrid>
      <w:tr w:rsidR="00BB637E" w:rsidTr="00BB637E">
        <w:tc>
          <w:tcPr>
            <w:tcW w:w="4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Вариант ответа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Грудинина</w:t>
            </w:r>
            <w:proofErr w:type="spellEnd"/>
          </w:p>
        </w:tc>
        <w:tc>
          <w:tcPr>
            <w:tcW w:w="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Жириновского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Путина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Собчак</w:t>
            </w:r>
          </w:p>
        </w:tc>
      </w:tr>
      <w:tr w:rsidR="00BB637E" w:rsidTr="00BB637E">
        <w:tc>
          <w:tcPr>
            <w:tcW w:w="4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1.Знаю, знакомился с программой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22</w:t>
            </w:r>
          </w:p>
        </w:tc>
        <w:tc>
          <w:tcPr>
            <w:tcW w:w="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11</w:t>
            </w:r>
          </w:p>
        </w:tc>
      </w:tr>
      <w:tr w:rsidR="00BB637E" w:rsidTr="00BB637E">
        <w:tc>
          <w:tcPr>
            <w:tcW w:w="4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2.Что-то слышал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</w:t>
            </w:r>
          </w:p>
        </w:tc>
      </w:tr>
      <w:tr w:rsidR="00BB637E" w:rsidTr="00BB637E">
        <w:tc>
          <w:tcPr>
            <w:tcW w:w="4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3.Ничего не слышал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51</w:t>
            </w:r>
          </w:p>
        </w:tc>
        <w:tc>
          <w:tcPr>
            <w:tcW w:w="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50</w:t>
            </w:r>
          </w:p>
        </w:tc>
      </w:tr>
      <w:tr w:rsidR="00BB637E" w:rsidTr="00BB637E">
        <w:tc>
          <w:tcPr>
            <w:tcW w:w="4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4.Не интересует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</w:t>
            </w:r>
          </w:p>
        </w:tc>
      </w:tr>
      <w:tr w:rsidR="00BB637E" w:rsidTr="00BB637E">
        <w:tc>
          <w:tcPr>
            <w:tcW w:w="4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5. Затрудняюсь ответить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/И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ное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0</w:t>
            </w:r>
          </w:p>
        </w:tc>
        <w:tc>
          <w:tcPr>
            <w:tcW w:w="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</w:tr>
      <w:tr w:rsidR="00BB637E" w:rsidTr="00BB637E">
        <w:tc>
          <w:tcPr>
            <w:tcW w:w="4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Общая осведомленность</w:t>
            </w:r>
          </w:p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п.1+п.2</w:t>
            </w:r>
          </w:p>
        </w:tc>
        <w:tc>
          <w:tcPr>
            <w:tcW w:w="1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41</w:t>
            </w:r>
          </w:p>
        </w:tc>
        <w:tc>
          <w:tcPr>
            <w:tcW w:w="9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33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Источник: </w:t>
      </w:r>
      <w:r>
        <w:rPr>
          <w:rStyle w:val="a6"/>
          <w:rFonts w:ascii="Arial" w:eastAsiaTheme="majorEastAsia" w:hAnsi="Arial" w:cs="Arial"/>
          <w:color w:val="222222"/>
          <w:sz w:val="21"/>
          <w:szCs w:val="21"/>
          <w:u w:val="single"/>
        </w:rPr>
        <w:t>ОРП-ЦИПКР-26022018 </w:t>
      </w:r>
      <w:r>
        <w:rPr>
          <w:rFonts w:ascii="Arial" w:hAnsi="Arial" w:cs="Arial"/>
          <w:color w:val="222222"/>
          <w:sz w:val="21"/>
          <w:szCs w:val="21"/>
          <w:u w:val="single"/>
        </w:rPr>
        <w:t>от 24-26.02.2018</w:t>
      </w:r>
      <w:r>
        <w:rPr>
          <w:rFonts w:ascii="Arial" w:hAnsi="Arial" w:cs="Arial"/>
          <w:color w:val="222222"/>
          <w:sz w:val="21"/>
          <w:szCs w:val="21"/>
        </w:rPr>
        <w:t>. 1500 респондентов из 128 населённых пунктов (79 крупных и малых городов, 49 сельских поселений). 60 субъектов РФ.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видим, на финише избирательной кампании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когда КПРФ выпустила агитпродукции объемом в 100 млн. экз. осведомленность граждан о программе кандидата КПРФ была лишь в три раза выше – 41 проц. в 2018 году против 13 проц. по поправкам в Конституцию в 2020 году.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0" distR="0">
            <wp:extent cx="2857500" cy="1924050"/>
            <wp:effectExtent l="19050" t="0" r="0" b="0"/>
            <wp:docPr id="7" name="Рисунок 7" descr="http://cipkr.ru/wp-content/uploads/2020/03/IMG_0503-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0/03/IMG_0503-300x2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Представляет интерес степень одобрения гражданами ключевых конституционных предложений КПРФ (табл. 8).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8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Поддерживаете ли Вы конституционную поправку КПРФ о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..?</w:t>
      </w:r>
      <w:proofErr w:type="gramEnd"/>
    </w:p>
    <w:tbl>
      <w:tblPr>
        <w:tblW w:w="87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1891"/>
        <w:gridCol w:w="1984"/>
        <w:gridCol w:w="2835"/>
      </w:tblGrid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gramStart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Гарантировании</w:t>
            </w:r>
            <w:proofErr w:type="gram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 xml:space="preserve"> гражданам доли в природных богатствах страны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gramStart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Возвращении</w:t>
            </w:r>
            <w:proofErr w:type="gram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 xml:space="preserve"> пенсионного возраста – 55 лет для женщин и 60 для мужчин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Государствообразующей</w:t>
            </w:r>
            <w:proofErr w:type="spell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 xml:space="preserve"> роли русского народа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Да</w:t>
            </w: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77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83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68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знаю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/затрудняюсь</w:t>
            </w: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11</w:t>
            </w:r>
          </w:p>
        </w:tc>
      </w:tr>
      <w:tr w:rsidR="00BB637E" w:rsidTr="00BB63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Иное</w:t>
            </w:r>
          </w:p>
        </w:tc>
        <w:tc>
          <w:tcPr>
            <w:tcW w:w="1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видим, самой поддерживаемой поправкой от КПРФ является требование возврата советских возрастных пределов пенсионного возраста (83 проц.), далее – гарантирование общенародного достояния природных богатств и доли от них каждому гражданину (77 проц.), а затем – закрепление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государствообразующей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роли русского народа (68 проц.). Поддержка каждой позиции на очень высоком уровне -70-80 проц. избирателей.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Учитывая, что в представленной КПРФ формулировке поправки не приняты, то продолжение пропагандисткой кампании КПРФ по данным вопросам имеет большой электоральный потенциал.</w:t>
      </w:r>
    </w:p>
    <w:p w:rsidR="00BB637E" w:rsidRDefault="00BB637E" w:rsidP="00BB637E">
      <w:pPr>
        <w:pStyle w:val="3"/>
        <w:spacing w:before="0" w:after="1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IV. Возможная тактика конституционных действий КПРФ и электоральные перспективы партии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исследования респондентам, которые в большинстве сами затрудняются и не определились по голосованию по президентским поправкам, было предложено оценить возможную тактику действий КПРФ в ходе дальнейших конституционных трансформаций (табл. 9).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9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Если власть не примет ключевые конституционные поправки КПРФ, то к каким действий должны призвать своих избирателей коммунисты?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4"/>
        <w:gridCol w:w="993"/>
        <w:gridCol w:w="1248"/>
        <w:gridCol w:w="1161"/>
        <w:gridCol w:w="1134"/>
        <w:gridCol w:w="993"/>
      </w:tblGrid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проц.</w:t>
            </w:r>
          </w:p>
        </w:tc>
        <w:tc>
          <w:tcPr>
            <w:tcW w:w="453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В т.ч. среди избирателей парламентских партий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ЕР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СР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1.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Все-равно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голосовать «за» президентские поправки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27</w:t>
            </w: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44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24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2.Голосовать «против»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3.КПРФ должна бойкотировать голосование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4.Это дело КПРФ, мне </w:t>
            </w:r>
            <w:proofErr w:type="spellStart"/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все-равно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</w:t>
            </w: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28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48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5.Не знаю, затрудняюсь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19</w:t>
            </w: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23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 xml:space="preserve">Общий уровень </w:t>
            </w:r>
            <w:proofErr w:type="spellStart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протестности</w:t>
            </w:r>
            <w:proofErr w:type="spellEnd"/>
          </w:p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п.2+п.3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22</w:t>
            </w: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43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34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</w:tr>
      <w:tr w:rsidR="00BB637E" w:rsidTr="00BB637E">
        <w:tc>
          <w:tcPr>
            <w:tcW w:w="40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 xml:space="preserve">Соотношение поддержки и </w:t>
            </w:r>
            <w:proofErr w:type="spellStart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протестности</w:t>
            </w:r>
            <w:proofErr w:type="spellEnd"/>
          </w:p>
          <w:p w:rsidR="00BB637E" w:rsidRDefault="00BB637E">
            <w:pPr>
              <w:pStyle w:val="a4"/>
              <w:spacing w:before="0" w:beforeAutospacing="0" w:after="225" w:afterAutospacing="0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п.1 / (п.2+п.3)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27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22</w:t>
            </w:r>
          </w:p>
        </w:tc>
        <w:tc>
          <w:tcPr>
            <w:tcW w:w="12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44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:</w:t>
            </w:r>
            <w:proofErr w:type="gram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 5</w:t>
            </w:r>
          </w:p>
        </w:tc>
        <w:tc>
          <w:tcPr>
            <w:tcW w:w="1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21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:</w:t>
            </w:r>
            <w:proofErr w:type="gram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 43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23</w:t>
            </w:r>
            <w:proofErr w:type="gramStart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 :</w:t>
            </w:r>
            <w:proofErr w:type="gram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 34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24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:</w:t>
            </w:r>
            <w:proofErr w:type="gramEnd"/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 18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видно, в целом по избирательному корпусу соотношение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лоялистских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протестных рекомендаций КПРФ по тактике действий примерно близко - 27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22.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вот в электорате КПРФ картина прямо противоположная. Здесь сторонников протестных действий в два раза больше, чем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лоялистов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Путина – 21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43.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Заметим, что месяц назад в электорате КПРФ доля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протестников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по итогам первого чтения за поправки Конституцию составляла лишь 15 проц. (сейчас 43 проц.), т.е. налицо ро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 в тр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 раза.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Похожая картина с протестными рекомендациями для КПРФ в электорате ЛДПР – здесь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лоялистов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намного меньше, чем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протестников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– 23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34.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Особо электорат «Единой России» – здесь соотношение в пользу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лоялистов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– 44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5. В электорате «Справедливой России» таких почти поровну – 24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18.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Очевидно, что протестная позиция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вп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олне может притянуть симпатии к КПРФ значительной части электората ЛДПР и даже часть сторонников «Справедливой России».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lastRenderedPageBreak/>
        <w:drawing>
          <wp:inline distT="0" distB="0" distL="0" distR="0">
            <wp:extent cx="2857500" cy="1609725"/>
            <wp:effectExtent l="19050" t="0" r="0" b="0"/>
            <wp:docPr id="8" name="Рисунок 8" descr="http://cipkr.ru/wp-content/uploads/2020/03/d53d5f71-c936-49df-8542-1d547131837d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0/03/d53d5f71-c936-49df-8542-1d547131837d-300x1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Ну, и, наконец, разберемся, как конституционные дебаты отразились на уровне поддержки КПРФ населением?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вопрос о том, за кого бы они проголосовали, если бы выборы в ГД состоялись сейчас, респонденты ответили (табл. 10).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Таблица 10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Если бы завтра прошли выборы в Государственную Думу, то за список какой партии Вы бы проголосовали</w:t>
      </w:r>
      <w:proofErr w:type="gramStart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, ?</w:t>
      </w:r>
      <w:proofErr w:type="gramEnd"/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7"/>
        <w:gridCol w:w="1276"/>
        <w:gridCol w:w="1134"/>
        <w:gridCol w:w="1418"/>
        <w:gridCol w:w="992"/>
        <w:gridCol w:w="992"/>
        <w:gridCol w:w="992"/>
      </w:tblGrid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Мнение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март.20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янв.20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янв-окт19**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Июн19*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Мар19*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222222"/>
                <w:sz w:val="21"/>
                <w:szCs w:val="21"/>
              </w:rPr>
              <w:t>сен.18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Единая Россия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33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18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Справедливая Россия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5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Яблоко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Патриоты России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Коммунисты России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За «партию 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Навального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»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-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Другая партия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lastRenderedPageBreak/>
              <w:t>Не решил, не определился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8</w:t>
            </w:r>
          </w:p>
        </w:tc>
      </w:tr>
      <w:tr w:rsidR="00BB637E" w:rsidTr="00BB637E">
        <w:tc>
          <w:tcPr>
            <w:tcW w:w="34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Против всех</w:t>
            </w:r>
            <w:proofErr w:type="gramStart"/>
            <w:r>
              <w:rPr>
                <w:rFonts w:ascii="Arial" w:hAnsi="Arial" w:cs="Arial"/>
                <w:color w:val="222222"/>
                <w:sz w:val="21"/>
                <w:szCs w:val="21"/>
              </w:rPr>
              <w:t>/И</w:t>
            </w:r>
            <w:proofErr w:type="gramEnd"/>
            <w:r>
              <w:rPr>
                <w:rFonts w:ascii="Arial" w:hAnsi="Arial" w:cs="Arial"/>
                <w:color w:val="222222"/>
                <w:sz w:val="21"/>
                <w:szCs w:val="21"/>
              </w:rPr>
              <w:t>спорчу бюллетень/ На выборы не пойду/ Иное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37E" w:rsidRDefault="00BB637E">
            <w:pPr>
              <w:spacing w:after="225" w:line="384" w:lineRule="atLeast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10</w:t>
            </w:r>
          </w:p>
        </w:tc>
      </w:tr>
    </w:tbl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*весной и летом 2019 г. опрос проводился в 12 регионах, где в ЕДГ избирали парламенты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**в октябре 2019 были обобщенные данные по опросам 20 тыс. респондентов в 26 регионах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 месяц конституционных дискуссий выросли рейтинги КПРФ и «ЕР». Соответственно, до 34 и 16 проц. Рейтинг ЛДПР стабильный </w:t>
      </w:r>
      <w:r>
        <w:rPr>
          <w:rStyle w:val="a5"/>
          <w:rFonts w:ascii="Arial" w:hAnsi="Arial" w:cs="Arial"/>
          <w:color w:val="222222"/>
          <w:sz w:val="21"/>
          <w:szCs w:val="21"/>
        </w:rPr>
        <w:t>– </w:t>
      </w:r>
      <w:r>
        <w:rPr>
          <w:rFonts w:ascii="Arial" w:hAnsi="Arial" w:cs="Arial"/>
          <w:color w:val="222222"/>
          <w:sz w:val="21"/>
          <w:szCs w:val="21"/>
        </w:rPr>
        <w:t>на уровне 10 проц., а показатели «СР» слегка ухудшились до 5 проц.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 xml:space="preserve">С пика пенсионных протестов в 2018 году рейтинг КПРФ несколько упал с 18 до 16. Громко продолжают заявлять о себе сторонники Навального – рейтинг его условной партии превосходит цифры «СР» и достигает 6 проц. общественной поддержки. Понятно, если его структуру опять не допустят до выборов, то эти протестные голоса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рассосуться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по электоральному пространству.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Растет доля сторонников непонятной «другой партии» – с 7 до 10 проц.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Таким образом, доля недовольных нынешними парламентскими партиями выросла за месяц с 13 до 16 проц. Это сопоставимо с нынешним уровнем поддержки КПРФ и ставит задачу наращивания протестного характера действий КПРФ и альтернативности в ее образе.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Заметим, что доля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неопределившихся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настоящем опросе, благодаря введению вариантов «за партию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Навального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и «другую партию» снизилась с 10 до 7 проц.</w:t>
      </w:r>
    </w:p>
    <w:p w:rsidR="00BB637E" w:rsidRDefault="00BB637E" w:rsidP="00BB637E">
      <w:pPr>
        <w:pStyle w:val="3"/>
        <w:spacing w:before="0" w:after="1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V. Некоторые общеполитические выводы в связи с исследованием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 70 проц. граждан в той или иной степени осведомлены о конституционных поправках Путина. Причем, уверенное «да» говорят лишь 37 проц. Не в курсе конституционных трансформаций – почти треть респондентов (29 проц.). </w:t>
      </w:r>
      <w:r>
        <w:rPr>
          <w:rStyle w:val="a5"/>
          <w:rFonts w:ascii="Arial" w:hAnsi="Arial" w:cs="Arial"/>
          <w:color w:val="222222"/>
          <w:sz w:val="21"/>
          <w:szCs w:val="21"/>
        </w:rPr>
        <w:t>Соотношение «осведомленных» к «неосведомленным»</w:t>
      </w:r>
      <w:r>
        <w:rPr>
          <w:rFonts w:ascii="Arial" w:hAnsi="Arial" w:cs="Arial"/>
          <w:color w:val="222222"/>
          <w:sz w:val="21"/>
          <w:szCs w:val="21"/>
        </w:rPr>
        <w:t> - </w:t>
      </w:r>
      <w:r>
        <w:rPr>
          <w:rStyle w:val="a5"/>
          <w:rFonts w:ascii="Arial" w:hAnsi="Arial" w:cs="Arial"/>
          <w:color w:val="222222"/>
          <w:sz w:val="21"/>
          <w:szCs w:val="21"/>
        </w:rPr>
        <w:t>2,4:1 в пользу осведомленных. </w:t>
      </w:r>
      <w:r>
        <w:rPr>
          <w:rFonts w:ascii="Arial" w:hAnsi="Arial" w:cs="Arial"/>
          <w:color w:val="222222"/>
          <w:sz w:val="21"/>
          <w:szCs w:val="21"/>
        </w:rPr>
        <w:t>Наивысшее соотношение «осведомленных» к «неосведомленным» у сторонников «Единой России» - </w:t>
      </w:r>
      <w:r>
        <w:rPr>
          <w:rStyle w:val="a5"/>
          <w:rFonts w:ascii="Arial" w:hAnsi="Arial" w:cs="Arial"/>
          <w:color w:val="222222"/>
          <w:sz w:val="21"/>
          <w:szCs w:val="21"/>
        </w:rPr>
        <w:t>3:1. </w:t>
      </w:r>
      <w:r>
        <w:rPr>
          <w:rFonts w:ascii="Arial" w:hAnsi="Arial" w:cs="Arial"/>
          <w:color w:val="222222"/>
          <w:sz w:val="21"/>
          <w:szCs w:val="21"/>
        </w:rPr>
        <w:t>Хуже всего – у сторонников ЛДПР - </w:t>
      </w:r>
      <w:r>
        <w:rPr>
          <w:rStyle w:val="a5"/>
          <w:rFonts w:ascii="Arial" w:hAnsi="Arial" w:cs="Arial"/>
          <w:color w:val="222222"/>
          <w:sz w:val="21"/>
          <w:szCs w:val="21"/>
        </w:rPr>
        <w:t>1,4:1. </w:t>
      </w:r>
      <w:r>
        <w:rPr>
          <w:rFonts w:ascii="Arial" w:hAnsi="Arial" w:cs="Arial"/>
          <w:color w:val="222222"/>
          <w:sz w:val="21"/>
          <w:szCs w:val="21"/>
        </w:rPr>
        <w:t>В электорате КПРФ на одного «неосведомленного» приходится два «осведомленных», а среди сторонников «Справедливой России» показатели такие же, как и в целом по избирательному корпусу.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Как видим, граждане еще не дотягивают для высоких </w:t>
      </w:r>
      <w:r>
        <w:rPr>
          <w:rStyle w:val="a5"/>
          <w:rFonts w:ascii="Arial" w:hAnsi="Arial" w:cs="Arial"/>
          <w:color w:val="222222"/>
          <w:sz w:val="21"/>
          <w:szCs w:val="21"/>
        </w:rPr>
        <w:lastRenderedPageBreak/>
        <w:t xml:space="preserve">стандартов осведомленности, сформулированных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политадминистраторами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партии власти.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Понимание гражданами сути президентских поправок в Конституцию – противоречиво. </w:t>
      </w:r>
      <w:r>
        <w:rPr>
          <w:rFonts w:ascii="Arial" w:hAnsi="Arial" w:cs="Arial"/>
          <w:color w:val="222222"/>
          <w:sz w:val="21"/>
          <w:szCs w:val="21"/>
        </w:rPr>
        <w:t>Почти треть граждан свято верит, что правки Конституции затеяны ради усиления социальных гарантий гражданам. Больше всего таких оптимистов в электорате «Единой России» (51 проц.). А меньше всего верят в благие намерения партии власти избиратели КПРФ и ЛДПР (26 и 24 проц., соответственно). Подоплеку в виде стремления усилить личную власть Путина в конституционных поправках усматривает каждый четвертый избиратель. Причем, более всего таких в электорате КПРФ (34 проц.). Еще треть избирателей (34 проц.) видит оба мотива в конституционных поправках Президента. Как видим, </w:t>
      </w:r>
      <w:r>
        <w:rPr>
          <w:rStyle w:val="a5"/>
          <w:rFonts w:ascii="Arial" w:hAnsi="Arial" w:cs="Arial"/>
          <w:color w:val="222222"/>
          <w:sz w:val="21"/>
          <w:szCs w:val="21"/>
        </w:rPr>
        <w:t>российское общество в оценке мотивов конституционных изменений распалось на три трети: </w:t>
      </w:r>
      <w:r>
        <w:rPr>
          <w:rFonts w:ascii="Arial" w:hAnsi="Arial" w:cs="Arial"/>
          <w:color w:val="222222"/>
          <w:sz w:val="21"/>
          <w:szCs w:val="21"/>
        </w:rPr>
        <w:t>«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лоялистов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</w:t>
      </w:r>
      <w:r>
        <w:rPr>
          <w:rStyle w:val="a5"/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color w:val="222222"/>
          <w:sz w:val="21"/>
          <w:szCs w:val="21"/>
        </w:rPr>
        <w:t>«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протестников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</w:t>
      </w:r>
      <w:r>
        <w:rPr>
          <w:rStyle w:val="a5"/>
          <w:rFonts w:ascii="Arial" w:hAnsi="Arial" w:cs="Arial"/>
          <w:color w:val="222222"/>
          <w:sz w:val="21"/>
          <w:szCs w:val="21"/>
        </w:rPr>
        <w:t> и придерживающихся смешанных ориентаций.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  <w:u w:val="single"/>
        </w:rPr>
        <w:t>Можно предположить нынешней уровень готовности к явке на референдум на уровне 32-35 проц. твердых участников с потенциалом роста до 59 проц.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Для респондентов довольно неожиданной оказалась ситуация, что им придется голосовать комплексно сразу по всем поправкам «да» или «нет».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 итоге, «да» на всенародном голосовании готовы пока сказать лишь 29 проц. от всех избирателей (53 проц. сторонников «ЕР», лишь 18 проц. избирателей КПРФ и по 23 проц. сторонников ЛДПР и «Справедливой России».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</w:t>
      </w:r>
      <w:r>
        <w:rPr>
          <w:rStyle w:val="a5"/>
          <w:rFonts w:ascii="Arial" w:hAnsi="Arial" w:cs="Arial"/>
          <w:color w:val="222222"/>
          <w:sz w:val="21"/>
          <w:szCs w:val="21"/>
        </w:rPr>
        <w:t>т определившихся с участием в голосовании «да» конституционным изменениям твердо готовы сказать лишь две пятых избирателей. Почти половина избирателей – не определились.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В таких условиях вполне возможно обсуждение вероятности в России варианта событий как после французского конституционного референдума 1969 года или «казуса де Голля», когда национальный герой Франции генерал де Голль был вынужден уйти в отставку после провала голосования по, в общем-то, не самым животрепещущим для нации проблемам – формированию регионов и реформированию сената.</w:t>
      </w:r>
      <w:proofErr w:type="gramEnd"/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 xml:space="preserve">В январском и мартовском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опросах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ЦИПКР, доля граждан, негативно относящихся к президентским конституционным инициативам стабильна – 17-18 проц. А вот избиратель, склонный поддержать инициированные Путиным правки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(более 48% опрошенных), в феврале лишь на две трети заявил о готовности сказать </w:t>
      </w:r>
      <w:r>
        <w:rPr>
          <w:rStyle w:val="a6"/>
          <w:rFonts w:ascii="Arial" w:hAnsi="Arial" w:cs="Arial"/>
          <w:color w:val="222222"/>
          <w:sz w:val="21"/>
          <w:szCs w:val="21"/>
        </w:rPr>
        <w:t>«Да»</w:t>
      </w:r>
      <w:r>
        <w:rPr>
          <w:rFonts w:ascii="Arial" w:hAnsi="Arial" w:cs="Arial"/>
          <w:color w:val="222222"/>
          <w:sz w:val="21"/>
          <w:szCs w:val="21"/>
        </w:rPr>
        <w:t>. И это явно не более половины избирателей, необходимых для поддержки предложений на полноценном конституционном референдуме. Вообще, дезориентация даже лояльного Путину избирателя </w:t>
      </w:r>
      <w:r>
        <w:rPr>
          <w:rStyle w:val="a5"/>
          <w:rFonts w:ascii="Arial" w:hAnsi="Arial" w:cs="Arial"/>
          <w:color w:val="222222"/>
          <w:sz w:val="21"/>
          <w:szCs w:val="21"/>
        </w:rPr>
        <w:t>– </w:t>
      </w:r>
      <w:r>
        <w:rPr>
          <w:rFonts w:ascii="Arial" w:hAnsi="Arial" w:cs="Arial"/>
          <w:color w:val="222222"/>
          <w:sz w:val="21"/>
          <w:szCs w:val="21"/>
        </w:rPr>
        <w:t>это значимый симптом, свидетельствующий об отсутствии общественной мобилизации за президентские конституционные поправки.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ходе исследования был замерен масштаб влияния на общественное мнение кампании КПРФ по продвижению своего варианта поправок в Конституцию. Он оказался адекватным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вложенным пропагандистским ресурсам. Каждый третий избиратель КПРФ в курсе или что-то слышал о поправках КПРФ. Среди всех избирателей таких лишь 13 проц. Менее всего осведомлены избиратели ЛДПР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СР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– по 8 проц. У сторонников ЕР осведомленность 10 проц. Если сравнивать осведомленность по президентским конституционным поправкам и поправкам КПРФ, то здесь колоссальный разрыв в мощи и эффективности пропагандистского аппарата.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Степень одобрения гражданами ключевых конституционных предложений КПРФ – высокая. Самой поддерживаемой поправкой от КПРФ является требование возврата советских возрастных пределов пенсионного возраста (83 проц.), далее – гарантирование общенародного достояния природных богатств и доли от них каждому гражданину (77 проц.), а затем – закрепление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государствообразующей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роли русского народа (68 проц.). Поддержка каждой позиции на очень высоком уровне -70-80 проц. избирателей. Учитывая, что в представленной КПРФ формулировке поправки не приняты, то продолжение пропагандисткой кампании КПРФ по данным вопросам имеет большой электоральный потенциал.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ходе исследования гражданам было предложено оценить возможную тактику действий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оцессе дальнейших конституционных трансформаций. В целом, по избирательному корпусу соотношение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лоялистских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протестных рекомендаций КПРФ по тактике действий примерно близко - 27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22. А вот в электорате КПРФ картина прямо противоположная. Здесь сторонников протестных действий в два раза больше, чем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лоялистов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Путина - 21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43. Еще месяц назад в электорате КПРФ доля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протестников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по итогам первого чтения за поправки Конституцию составляла лишь 15 проц. (сейчас 43 проц.), т.е. налицо ро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 в тр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 раза. Анализ электоратов других партий показывает, что протестная позиция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вп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олне может притянуть симпатии к КПРФ значительной части электората ЛДПР и даже часть сторонников «Справедливой России».</w:t>
      </w:r>
    </w:p>
    <w:p w:rsidR="00BB637E" w:rsidRDefault="00BB637E" w:rsidP="00BB637E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Конституционные дебаты привели к некоторому росту уровня поддержки КПРФ населением.</w:t>
      </w:r>
      <w:r>
        <w:rPr>
          <w:rFonts w:ascii="Arial" w:hAnsi="Arial" w:cs="Arial"/>
          <w:color w:val="222222"/>
          <w:sz w:val="21"/>
          <w:szCs w:val="21"/>
        </w:rPr>
        <w:t> За месяц конституционных дискуссий выросли рейтинги КПРФ и «ЕР». Соответственно, до 34 и 16 проц. Рейтинг ЛДПР стабильный </w:t>
      </w:r>
      <w:r>
        <w:rPr>
          <w:rStyle w:val="a5"/>
          <w:rFonts w:ascii="Arial" w:hAnsi="Arial" w:cs="Arial"/>
          <w:color w:val="222222"/>
          <w:sz w:val="21"/>
          <w:szCs w:val="21"/>
        </w:rPr>
        <w:t>– </w:t>
      </w:r>
      <w:r>
        <w:rPr>
          <w:rFonts w:ascii="Arial" w:hAnsi="Arial" w:cs="Arial"/>
          <w:color w:val="222222"/>
          <w:sz w:val="21"/>
          <w:szCs w:val="21"/>
        </w:rPr>
        <w:t>на уровне 10 проц., а показатели «СР» слегка ухудшились до 5 проц. Громко продолжают заявлять о себе сторонники Навального – рейтинг его условной партии превосходит цифры «СР» и достигает 6 проц. общественной поддержки. Растет доля сторонников непонятной «другой партии» - с 7 до 10 проц. Таким образом, доля недовольных нынешними парламентскими партиями выросла за месяц с 13 до 16 проц. Это сопоставимо с нынешним уровнем поддержки КПРФ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* * *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</w:rPr>
        <w:lastRenderedPageBreak/>
        <w:drawing>
          <wp:inline distT="0" distB="0" distL="0" distR="0">
            <wp:extent cx="2857500" cy="2809875"/>
            <wp:effectExtent l="19050" t="0" r="0" b="0"/>
            <wp:docPr id="9" name="Рисунок 9" descr="http://cipkr.ru/wp-content/uploads/2020/03/IMG_0689-300x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20/03/IMG_0689-300x29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условия начавшегося мирового экономического кризиса и обвального падения цен на нефть, что неизбежно повлечет со стороны правительства тактику затягивания поясов, можно предполагать, что высока вероятность возникновения идеального шторма в российской политической системе. С одной стороны,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расконсолидированность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мнений в вопросах непонятной конституционной реформы при росте за месяц доли сторонников протестных действий в оппозиционном ядре. С другой – риски распространения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эпидемии и мирового экономического кризиса. Простой гражданин уже чувствует последствие глобальных и отечественных трансформаций.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Отметим, что дезориентация даже лояльного Путину избирателя - это значимый симптом, свидетельствующий об отсутствии общественной мобилизации за президентские конституционные поправки.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Более того, на данный момент невозможно предсказать, к каким именно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массовидным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процессам приведет возможное высвобождение «страхов из 90-х» в населении РФ.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С одной стороны, не исключено, что «образ Путина» как иллюзорное спасение от «ужаса перед хаосом» вновь сработает</w:t>
      </w:r>
      <w:r>
        <w:rPr>
          <w:rFonts w:ascii="Arial" w:hAnsi="Arial" w:cs="Arial"/>
          <w:color w:val="222222"/>
          <w:sz w:val="21"/>
          <w:szCs w:val="21"/>
        </w:rPr>
        <w:t> (а «финансовая подушка» позволит власти с минимальными потерями провести страну через кризис), и с его помощью власть еще раз сумеет консолидировать большинство граждан. Нельзя забывать и об опасности введения прямой диктатуры.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С другой стороны, хаотические процессы могут прорваться «на поверхность.</w:t>
      </w:r>
      <w:r>
        <w:rPr>
          <w:rFonts w:ascii="Arial" w:hAnsi="Arial" w:cs="Arial"/>
          <w:color w:val="222222"/>
          <w:sz w:val="21"/>
          <w:szCs w:val="21"/>
        </w:rPr>
        <w:t> Причем в таких обстоятельствах, когда диктатура будет невозможной. Тем более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 многие протестные активисты не имеют опыта жизни в 1990-е. В случае «прорыва» хаоса совершенно не исключено, что «артефакт Путин» окончательно перестанет действовать, а либерально-компрадорские силы начнут прямую атаку на государство, и, соответственно, </w:t>
      </w:r>
      <w:r>
        <w:rPr>
          <w:rFonts w:ascii="Arial" w:hAnsi="Arial" w:cs="Arial"/>
          <w:color w:val="222222"/>
          <w:sz w:val="21"/>
          <w:szCs w:val="21"/>
        </w:rPr>
        <w:lastRenderedPageBreak/>
        <w:t>единственной надеждой для государственников и преградой для организаторов «перестройки-2» станет КПРФ именно как протестная, но созидательная сила.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это требует от руководства партии сохранения свободы и рук и очень точных, понятных избирателю и активу партии решений.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Сергей Обухов,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доктор политических наук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b/>
          <w:bCs/>
          <w:color w:val="222222"/>
          <w:sz w:val="21"/>
          <w:szCs w:val="21"/>
        </w:rPr>
        <w:t>Исполнители исследования: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Фокина Н.В., консультант ЦК КПРФ,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 xml:space="preserve">Е.Б. </w:t>
      </w:r>
      <w:proofErr w:type="spellStart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Шабарова</w:t>
      </w:r>
      <w:proofErr w:type="spellEnd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, кандидат политических наук, зам</w:t>
      </w:r>
      <w:proofErr w:type="gramStart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.з</w:t>
      </w:r>
      <w:proofErr w:type="gramEnd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ав. отделом ЦК КПРФ,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Д.А. Стрелков, зав. сектором отдела ЦК КПРФ,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Н.Ю.Волков, кандидат физико-математических наук, зам</w:t>
      </w:r>
      <w:proofErr w:type="gramStart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.з</w:t>
      </w:r>
      <w:proofErr w:type="gramEnd"/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ав. отделом ЦК КПРФ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С.П. Обухов, доктор политических наук, секретарь ЦК КПРФ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Полевые работы – Е.В. Козин, зам. зав. Отделом информационных технологий ЦК КПРФ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color w:val="222222"/>
          <w:sz w:val="21"/>
          <w:szCs w:val="21"/>
        </w:rPr>
        <w:t>Отв. за выпуск – С.П.Обухов, доктор политических наук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b/>
          <w:bCs/>
          <w:color w:val="222222"/>
          <w:sz w:val="21"/>
          <w:szCs w:val="21"/>
        </w:rPr>
        <w:t>Отдел ЦК КПРФ по проведению избирательных кампаний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b/>
          <w:bCs/>
          <w:color w:val="222222"/>
          <w:sz w:val="21"/>
          <w:szCs w:val="21"/>
        </w:rPr>
        <w:t>Центр исследований политической культуры России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eastAsiaTheme="majorEastAsia" w:hAnsi="Arial" w:cs="Arial"/>
          <w:b/>
          <w:bCs/>
          <w:color w:val="222222"/>
          <w:sz w:val="21"/>
          <w:szCs w:val="21"/>
        </w:rPr>
        <w:t>Отдел ЦК КПРФ по информационным технологиям</w:t>
      </w:r>
    </w:p>
    <w:p w:rsidR="00BB637E" w:rsidRDefault="00BB637E" w:rsidP="00BB637E">
      <w:pPr>
        <w:pStyle w:val="a4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9 марта 2020 года</w:t>
      </w:r>
    </w:p>
    <w:p w:rsidR="008B3934" w:rsidRDefault="00BB637E"/>
    <w:sectPr w:rsidR="008B3934" w:rsidSect="00BB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0665C"/>
    <w:multiLevelType w:val="multilevel"/>
    <w:tmpl w:val="D51A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3405"/>
    <w:rsid w:val="001B75BD"/>
    <w:rsid w:val="002A3405"/>
    <w:rsid w:val="004C2645"/>
    <w:rsid w:val="00BB637E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BD"/>
  </w:style>
  <w:style w:type="paragraph" w:styleId="1">
    <w:name w:val="heading 1"/>
    <w:basedOn w:val="a"/>
    <w:link w:val="10"/>
    <w:uiPriority w:val="9"/>
    <w:qFormat/>
    <w:rsid w:val="002A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3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A340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B63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BB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637E"/>
    <w:rPr>
      <w:b/>
      <w:bCs/>
    </w:rPr>
  </w:style>
  <w:style w:type="character" w:styleId="a6">
    <w:name w:val="Emphasis"/>
    <w:basedOn w:val="a0"/>
    <w:uiPriority w:val="20"/>
    <w:qFormat/>
    <w:rsid w:val="00BB637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2020-03-10T05:17:00Z</dcterms:created>
  <dcterms:modified xsi:type="dcterms:W3CDTF">2020-03-10T06:44:00Z</dcterms:modified>
</cp:coreProperties>
</file>