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Доктор политических наук Сергей Обухов с коллегами по ЦИПКР подготовили а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налитический обзор экспертных мнений по предстоящей конституционной трансформации. Текущая диспозиция дана по состоянию на 10 февраля, когда в Администрации президента так и не определился по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таймингу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свой</w:t>
      </w:r>
      <w:proofErr w:type="gram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глобальной конституционной трансформации.</w:t>
      </w:r>
    </w:p>
    <w:p w:rsidR="00AA2C4C" w:rsidRPr="00AA2C4C" w:rsidRDefault="00AA2C4C" w:rsidP="00AA2C4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Великая неопределенность в планах Путина и конечных целях проводимых им трансформаций продолжает мучить и политиков, и экспертное сообщество. До второго чтения по поправкам данное состояние тревоги и неуверенности в элитах явно будет нарастать.</w:t>
      </w:r>
    </w:p>
    <w:p w:rsidR="00AA2C4C" w:rsidRPr="00AA2C4C" w:rsidRDefault="00AA2C4C" w:rsidP="00AA2C4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настоящий момент эксперты выделяют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5 базовых сценариев «транзита»: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Сценарий 1: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Полновластный «самодержавный Преемник» и «гарантии» для В. Путина (повторение «ельцинского сценария») с «зачисткой» целого ряда «элитных кланов».</w:t>
      </w:r>
      <w:proofErr w:type="gramEnd"/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Сценарий 2.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Госсовет или Совбез как новый центр власти во главе с В. Путиным и создание системы «сдержек и противовесов».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Сценарий 3: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Обнуление предыдущих сроков президентства (или плебисцит о продлении президентских полномочий) и формирование фактического самодержавия при сохранении власти В. Путина.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Сценарий 4: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Создание Союзного государства при сохранении у власти В. Путина с резким возрастанием роли государственников в госаппарате.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Сценарий 5: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Досрочный уход Путина с политической арены по причине «личных обстоятельств непреодолимой силы» и лобовое, открытое столкновение партий «мобилизации в осажденной крепости» и «капитуляции/демобилизации/перестройки».</w:t>
      </w:r>
    </w:p>
    <w:p w:rsidR="00AA2C4C" w:rsidRPr="00AA2C4C" w:rsidRDefault="00AA2C4C" w:rsidP="00AA2C4C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трансформации и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насрастание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неопределенности происходит на фоне следующих кризисов:</w:t>
      </w:r>
    </w:p>
    <w:p w:rsidR="00AA2C4C" w:rsidRPr="00AA2C4C" w:rsidRDefault="00AA2C4C" w:rsidP="00AA2C4C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Конституционный кризис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(индуцирован инициаторами «транзита»). 2.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Кризис образа будущего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(у России нет проекта развития).3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Электоральный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антиистеблишментная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волна и нарастающий протест). 4.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Муниципальный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изменение системы и полномочий местного управления, отсутствие ресурсов, невозможность развивать территории, одичание.5.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Демографический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коллапс территорий, вымирание и старение населения, формирования молодежного пузыря в мегаполисах, неравновесная среда. 6.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Кризис систем жизнеобеспечения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медицина, образование, соц. и пенс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истемы, невозможность системы управление справиться с ЧП - от наводнения до телефонного 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терроризма. 7.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Экологический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мусорная проблема, водоснабжение, утрата лесов, снижение качества продуктов питания и в целом качества жизни, новые болезни. 8. </w:t>
      </w: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Энергетический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- падение спроса на сырье, растущие санкции против российского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нефтегаза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казус Севпотока-2 и новых трубопроводных проектов. 9.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Экономический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длительная стагнация экономики, падение доходов от экспорта, бедность населения +налоговый пресс, предстоящее снижение торговли с КНР. 10.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Кризис отношений с Европой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- история как ящик Пандоры, отторжение РФ как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Макмафии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отсутствие конструктивного формата сближения, разрыв коммуникации. 11.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Кризис отношений с Китаем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- вирус как триггер,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синефобия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осознание зависимости от КНР и опасности превращение РФ в провинцию Китая, восприятие китайских туристов и бизнесов как нашествие саранчи. 12.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Кризис отношений с США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- заявка на Ялту 2.0 и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ответка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реальному месту РФ мире как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.д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ержавы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санкции против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Севпотока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нефтегаза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финансовые и персональные санкции,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обкусывание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постсоветского пространства, принуждение к миру на Украине, влияние на транзит. 13.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Украинский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подвешенный статус ЛДНР, подписание «газового Хасавьюрта» 14.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Ближневосточный кризис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затяжной конфликт, вхождение в Ливию, опасность развала тактической коалиции «Россия-Иран-Турция». 15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Кризис отношений в ЕАЭС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нефтегазовый клинч Беларуси, фронда Армении и Киргизии, нерешенность базовых проблем: охлаждение Казахстана и осторожность Узбекистана к проекту, неясность перспектив и многомерность параллельных проектов. 16.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Уход от кризиса в Африку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манипуляции с долгами, выведение активов из РФ и ЕАЭС на черный континент (</w:t>
      </w:r>
      <w:hyperlink r:id="rId5" w:history="1">
        <w:r w:rsidRPr="00AA2C4C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https://t.me/tolk_tolk/4266</w:t>
        </w:r>
      </w:hyperlink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)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.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Ряд экспертов (н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апример, каналы «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Незыгарь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(@russica2),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«Образ будущего»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(@obrazbuduschego2),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The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Гращенков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(@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thegraschenkov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др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отмечают, что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ход транзита все более явно теряет темп и структуру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число проблем, якобы вызывающих недовольство президента, входят 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тайминг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 Д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сих пор неясно, когда состоится голосование. С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одержание конституционных поправок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– не понятно. Решение Кириенко продлить рассмотрение поправок резко усилило хаотизацию процесса.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более очевидны,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правовые и организационные рамки процесса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(скажем, Центризбирком до сих пор недостаточно мобилизован);</w:t>
      </w:r>
      <w:proofErr w:type="gramEnd"/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Нарастание турбулентности в элитах стимулирует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внутриаппаратные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разборки.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(@russica2 считает, в этой связи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позиции С. Кириенко могут подвергаться «эрозии».</w:t>
      </w:r>
      <w:proofErr w:type="gram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Отмечается, что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С.Кириенко не был включен в Совет по стратегическому развитию и нацпроектам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куда, тем не менее, вошли глава администрации президента, все полпреды и вице-премьеры, спикеры ГД и СФ РФ, глава Счетной палаты и ряд фигур «второго плана»;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Канал @russica2» конкретизирует свой вывод о пробуксовке трансформаций: «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Потеря темпа уже дает о себе знать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. На фоне китайского форс-мажора, конституционные 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инициативы (до сих пор не оформленные и без контрольных сроков) тормозят планирование юбилейных мероприятий. В результате публично должен был даже вмешаться Президент, который определил сроки принятия поправок -3,5 месяца с момента начала обсуждения. 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Первоначальный мартовский срок голосования уже сорван. Теперь остается середина апреля.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</w:t>
      </w:r>
      <w:r w:rsidRPr="00AA2C4C">
        <w:rPr>
          <w:rFonts w:ascii="Arial" w:eastAsia="Times New Roman" w:hAnsi="Arial" w:cs="Arial"/>
          <w:i/>
          <w:iCs/>
          <w:color w:val="222222"/>
          <w:sz w:val="21"/>
          <w:u w:val="single"/>
          <w:lang w:eastAsia="ru-RU"/>
        </w:rPr>
        <w:t xml:space="preserve">Оттягивание сроков и проведение весенней кампании отразится на сентябрьской кампании по выборам губернаторов и </w:t>
      </w:r>
      <w:proofErr w:type="spellStart"/>
      <w:r w:rsidRPr="00AA2C4C">
        <w:rPr>
          <w:rFonts w:ascii="Arial" w:eastAsia="Times New Roman" w:hAnsi="Arial" w:cs="Arial"/>
          <w:i/>
          <w:iCs/>
          <w:color w:val="222222"/>
          <w:sz w:val="21"/>
          <w:u w:val="single"/>
          <w:lang w:eastAsia="ru-RU"/>
        </w:rPr>
        <w:t>Заксобраний</w:t>
      </w:r>
      <w:proofErr w:type="spellEnd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 Подготовка к ним даже и не начиналась. Не говоря уже о трансформации Думы. Как говорят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, в понедельник глава АП ждет финальных предложений от Кириенко и других управлений АП, чтобы утвердить у Президента. 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Между тем вопросов пока больше, чем ответов. Проработка вопросов до сих пор остается слабой. Ситуация, как говорят, очень напоминает 2016 год, когда в отставку был отправлен Володин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данный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момент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очевидно, что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спецоперация «транзит» далека от завершения, проходит со сбоями, но уже вряд ли может быть остановлена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Это значит, что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неожиданные для большинства новости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(от роспуска Госдумы с досрочными выборами (если социология покажет, что чувство перемен даст «ЕР» прирост процентов) до отставки самого президента и досрочных выборов главы государства)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могут быть объявлены в любой момент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Согласно ряду публикаций, в Кремле определились с требованиями к плебисциту по поправкам в Конституцию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Явка должна быть более 50%, а голосование за поправки – не менее 70%.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Обращает на себя внимание существенная коррекция АП целевых показателей «общенародного голосования» по поправкам в Конституцию.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верить «инсайдерам», еще две недели назад контрольные цифры (явка - 70%, «за» - 90%.существенно отличались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нынешних);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Голосование по поправкам в Конституцию можно назвать «промежуточными президентскими выборами».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власти, социологов и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политконсультантов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это важная веха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: определяется реальный уровень доверия к высшей власти (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т.ч. и Путину). Особенно важен будет результат в «протестных» регионах (Москва и ряд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городов-миллионников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Иркутская область и т.д.). От результата голосования будет сильно зависеть ход «транзита». Если, например, в Москве результат явки и одобрения будет ниже 50%?;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ходе транзита в структурах власти транзита фиксируются сильные «подземные толчки».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Они проявляются в следующих «выбросах»: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освобождение от нахождение в СИЗО и, затем, буквально через несколько дней новых арест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К.Цукан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(предположительно связанной с группой Ковальчуков);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арест в команде Шойгу -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замглавы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Генштаба </w:t>
      </w: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</w:t>
      </w:r>
      <w:proofErr w:type="gram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РФ Х. Арсланова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резкие высказывания спикера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ЗакС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СПб В. Макарова в адрес некой «администрации» и ситуация с подпольным казино в квартире члена «ЕР» и главы МО Введенский О.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Калядина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близкого влиятельному питерскому спикеру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 этом фоне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примечательна публикация ВЦИОМ данных об обвальном падении рейтинга (ниже официального рейтинга «ЕР») и повышении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антирейтинга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экс-премьера Д. Медведева 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(Доверие Медведеву сегодня составляет 28,9%. До отставки правительства было 38,3%. Снижение на 9,4 процентных пункта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gram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дновременно недоверие Медведеву сейчас составляет 63,7%. До отставки с поста премьер-министра было 56,1%);</w:t>
      </w:r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Эксперт В. Горшенин отмечает: «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Когда </w:t>
      </w:r>
      <w:proofErr w:type="gramStart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читал информацию по рейтингам Медведева &lt;…&gt; подумал</w:t>
      </w:r>
      <w:proofErr w:type="gramEnd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что это - картина мира АП. Потому что логика не бьется. </w:t>
      </w:r>
      <w:proofErr w:type="gramStart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Если бы у главы государства рейтинг после отставки правительства рос, а у Медведева падал, было понятно, но ведь и у Путина по тому же ВЦИОМу рейтинг упал на 1,8%. И здесь одно из двух: 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либо это начало отрицания власти в целом, что бы она ни делала, либо - с рейтингом Медведева, который ничего особо плохого-то не сделал за время после отставки</w:t>
      </w:r>
      <w:proofErr w:type="gramEnd"/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, </w:t>
      </w:r>
      <w:proofErr w:type="spellStart"/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адаже</w:t>
      </w:r>
      <w:proofErr w:type="spellEnd"/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немного наоборот, - это действительно игры АП по устранению сильного игрока, которому по-прежнему доверяет прези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дент (коль уж специально из-за него структуру Совбеза серьезно поменяли)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</w:t>
      </w:r>
      <w:proofErr w:type="gram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подчеркнуть, что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возможная замена Д. Медведева на М.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Мишустина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или даже В. Путина вряд ли существенно повысит рейтинг «ЕР», что может говорить о непреодолимом кризиса официальной партии власти, ускоренном в результате «спецоперации транзит»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:rsidR="00AA2C4C" w:rsidRPr="00AA2C4C" w:rsidRDefault="00AA2C4C" w:rsidP="00AA2C4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При этом целый ряд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информресурсов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активно пытаются опровергать реальность конфликта условной «партии капитуляции» и «партии мобилизации».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Так, канал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«Большой 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траснфер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пишет: «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В последнее время стала популярной теория (https://t.me/russica2/23668) о борьбе между «Партией мобилизации» и «Партией служения». &lt;,,,&gt; Если присмотреться к «Китайской модели» как к базису для нового устройства России, станет понятно, что никакого конфликта между «Партией служения» и «Партией мобилизации» нет. Аналог Госсовета – ПКПБ и аналог Совбеза (https://t.me/bigtransfer2024/550)– </w:t>
      </w:r>
      <w:proofErr w:type="spellStart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Совгосбез</w:t>
      </w:r>
      <w:proofErr w:type="spellEnd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прекрасно взаимодействуют между собой в Китае, в первую очередь потому, что имеют разные зоны ответственности. ПКПБ отвечает за управление экономикой и внутренней политикой, а </w:t>
      </w:r>
      <w:proofErr w:type="spellStart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Совгосбез</w:t>
      </w:r>
      <w:proofErr w:type="spellEnd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– за безопасность и внешнюю политику.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Появляется резонный вопрос: а кто распространяет слухи и пытается столкнуть лбами высшее руководство страны?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6" w:history="1">
        <w:r w:rsidRPr="00AA2C4C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https://t.me/bigtransfer2024/860)»</w:t>
        </w:r>
      </w:hyperlink>
      <w:proofErr w:type="gramEnd"/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Вышеприведенные рассуждения вызывают новые вопросы, 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так как согласно большинству специалистов по КНР, в Китае сейчас идет серьезнейшая борьба между «партией евразийского сотрудничества» и «проамериканской партией». В связи с этим возникает встречный вопрос: кого в период «транзита» пугают «</w:t>
      </w: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вбросы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о наличии во власти либеральной антигосударственной «пятой колонны»?</w:t>
      </w:r>
    </w:p>
    <w:p w:rsidR="00AA2C4C" w:rsidRPr="00AA2C4C" w:rsidRDefault="00AA2C4C" w:rsidP="00AA2C4C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Упорное противодействие русофобских и антисоветских сил включению в Конституцию таких пунктов, как государственная собственность на недра,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государствообразующая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роль русского народа, защита традиционных семейных ценностей создает ситуацию, при которой</w:t>
      </w: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возможно неприятие выносимого на «всенародное голосование» продукта значительными слоями базового для В. Путина электората.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НЕКОТОРЫЕ ВЫВОДЫ</w:t>
      </w:r>
    </w:p>
    <w:p w:rsidR="00AA2C4C" w:rsidRPr="00AA2C4C" w:rsidRDefault="00AA2C4C" w:rsidP="00AA2C4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Спецоперация «Транзит» далека от завершения, проходит с серьезными сбоями и отставанием от графика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фоне развивающегося кризиса всей системы российской власти (сама являясь фактором этого кризиса), но уже вряд ли может быть остановлена, хотя практически никто их экспертов не может определить ее базовый сценарий;</w:t>
      </w:r>
    </w:p>
    <w:p w:rsidR="00AA2C4C" w:rsidRPr="00AA2C4C" w:rsidRDefault="00AA2C4C" w:rsidP="00AA2C4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плане принятия решений счет идет буквально на дни, а цена ошибки резко возрастает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 под ударом находится ряд кланов и статусных лиц (включая, вероятно, и часть АП РФ);</w:t>
      </w:r>
    </w:p>
    <w:p w:rsidR="00AA2C4C" w:rsidRPr="00AA2C4C" w:rsidRDefault="00AA2C4C" w:rsidP="00AA2C4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Межэлитная</w:t>
      </w:r>
      <w:proofErr w:type="spell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война резко ожесточилась, причем ситуация меняется ежесуточно (это относится и к арестам на федеральном уровне, и к региональным скандалам, и </w:t>
      </w: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</w:t>
      </w:r>
      <w:proofErr w:type="gram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gramStart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новым</w:t>
      </w:r>
      <w:proofErr w:type="gramEnd"/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«результатам опросов ВЦИОМ и ФОМ»,</w:t>
      </w: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к противоречащим друг другу заявлениям членом рабочей группы по конституционным поправкам, и к «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вбросам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в </w:t>
      </w:r>
      <w:proofErr w:type="spellStart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AA2C4C" w:rsidRPr="00AA2C4C" w:rsidRDefault="00AA2C4C" w:rsidP="00AA2C4C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Ожидаемое в апреле «общенародное голосование» становится фактически референдумом о доверии В.Путину;</w:t>
      </w:r>
    </w:p>
    <w:p w:rsidR="00AA2C4C" w:rsidRPr="00AA2C4C" w:rsidRDefault="00AA2C4C" w:rsidP="00AA2C4C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Запущенные «спецоперацией «Транзит» процессы с высокой степенью вероятностью поставят власть перед фактом дальнейшего провала рейтинга «ЕР»;</w:t>
      </w:r>
    </w:p>
    <w:p w:rsidR="00AA2C4C" w:rsidRPr="00AA2C4C" w:rsidRDefault="00AA2C4C" w:rsidP="00AA2C4C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всему, «партия перестройки-2» и ее адепты в самых разных структурах пытаются совершить «решающее усилие» (что имеет определенные параллели с ситуацией в КНР).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Подготовили:</w:t>
      </w:r>
    </w:p>
    <w:p w:rsidR="00AA2C4C" w:rsidRPr="00AA2C4C" w:rsidRDefault="00AA2C4C" w:rsidP="00AA2C4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Н.Ю. Волков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 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А.М. Богачев,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</w:t>
      </w:r>
      <w:r w:rsidRPr="00AA2C4C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</w:t>
      </w:r>
      <w:r w:rsidRPr="00AA2C4C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8B3934" w:rsidRDefault="00AA2C4C"/>
    <w:sectPr w:rsidR="008B3934" w:rsidSect="001E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204"/>
    <w:multiLevelType w:val="multilevel"/>
    <w:tmpl w:val="ABF6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D2814"/>
    <w:multiLevelType w:val="multilevel"/>
    <w:tmpl w:val="8C2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05FFF"/>
    <w:multiLevelType w:val="multilevel"/>
    <w:tmpl w:val="2388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43075"/>
    <w:multiLevelType w:val="multilevel"/>
    <w:tmpl w:val="8E9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03ABA"/>
    <w:multiLevelType w:val="multilevel"/>
    <w:tmpl w:val="6064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C3C7A"/>
    <w:multiLevelType w:val="multilevel"/>
    <w:tmpl w:val="A174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A2C95"/>
    <w:multiLevelType w:val="multilevel"/>
    <w:tmpl w:val="F12E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C6A43"/>
    <w:multiLevelType w:val="multilevel"/>
    <w:tmpl w:val="D0B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C4C"/>
    <w:rsid w:val="001E3B5F"/>
    <w:rsid w:val="004C2645"/>
    <w:rsid w:val="00AA2C4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C4C"/>
    <w:rPr>
      <w:b/>
      <w:bCs/>
    </w:rPr>
  </w:style>
  <w:style w:type="character" w:styleId="a5">
    <w:name w:val="Hyperlink"/>
    <w:basedOn w:val="a0"/>
    <w:uiPriority w:val="99"/>
    <w:semiHidden/>
    <w:unhideWhenUsed/>
    <w:rsid w:val="00AA2C4C"/>
    <w:rPr>
      <w:color w:val="0000FF"/>
      <w:u w:val="single"/>
    </w:rPr>
  </w:style>
  <w:style w:type="character" w:styleId="a6">
    <w:name w:val="Emphasis"/>
    <w:basedOn w:val="a0"/>
    <w:uiPriority w:val="20"/>
    <w:qFormat/>
    <w:rsid w:val="00AA2C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bigtransfer2024/860)" TargetMode="External"/><Relationship Id="rId5" Type="http://schemas.openxmlformats.org/officeDocument/2006/relationships/hyperlink" Target="https://t.me/tolk_tolk/4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10337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2020-02-10T13:10:00Z</dcterms:created>
  <dcterms:modified xsi:type="dcterms:W3CDTF">2020-02-10T13:10:00Z</dcterms:modified>
</cp:coreProperties>
</file>