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Представляем материалы мониторингового опроса, проведенного ЦИПКР в Приморье после решения сессии Законодательного собрания о проведении повторных выборов губернатора края.</w:t>
      </w:r>
    </w:p>
    <w:p w:rsidR="00134CF6" w:rsidRPr="00134CF6" w:rsidRDefault="00134CF6" w:rsidP="00134CF6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Характеристика мониторингового опроса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настоящем докладе представлены данные инициативного опроса ЦИПКР: 500 респондентов, из всех </w:t>
      </w:r>
      <w:proofErr w:type="spellStart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урбанострат</w:t>
      </w:r>
      <w:proofErr w:type="spellEnd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Приморского края. Доля респондентов по каждой </w:t>
      </w:r>
      <w:proofErr w:type="spellStart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урбанострате</w:t>
      </w:r>
      <w:proofErr w:type="spellEnd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соответствует доле избирателей в общей структуре избирательного корпуса области.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Методы опроса: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Опрос РОПРИМ-ЦИПКР-20102018 от 18-20.10.2018 (робот) - </w:t>
      </w: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роботизированные </w:t>
      </w: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телефонные интервью. Выборка репрезентативная, случайная, квотированная по половозрастной структуре и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урбаностратам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Приморского края. Доля стационарных телефонов – 40%, доля мобильных телефонов – 60%.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с 18-10-2018 по 20-10-2018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500 валидных анкет (4% проходят анкетирование)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Данные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перевзвешены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стандартной процедуре по социально-демографическим параметрам. Результаты сопоставлены с официальными результатами выборов президента РФ 18 марта 2018 года на территории Приморского края.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Допустимая статистическая погрешность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такого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рода опросах – 6,6 процентов.</w:t>
      </w:r>
    </w:p>
    <w:p w:rsidR="00134CF6" w:rsidRPr="00134CF6" w:rsidRDefault="00134CF6" w:rsidP="00134CF6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Намерение участвовать в повторных</w:t>
      </w:r>
      <w:r w:rsidRPr="00134C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выборах губернатора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было замерено отношение избирателей Приморья к участию в повторных выборах главы региона (табл.1).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16 декабря в крае назначены повторные выборы губернатора. Вы намерены участвовать в голосовании?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8"/>
        <w:gridCol w:w="3756"/>
      </w:tblGrid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Значение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Пока не решил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хожу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 как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неголосующие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зачастую, отказываются участвовать в опросах, то для оценки электоральной активности по итогам многолетних измерений рекомендуется применять эмпирический коэффициент =0,6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Исходя из вышеприведенных данных явку можно ожидать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0,6*73,6= 44%.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Напомним, что во втором туре выборов губернатора, которые были отменены Центризбиркомом, явка составляла 35,4 процента. Как видим, по декларациям опрошенных можно ожидать явку не ниже, а то и выше, чем во втором туре отмененных выборов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этой связи важно проанализировать как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намерены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прийти на избирательные участки, голосовавшие за основных кандидатов во втором туре отмененных выборов (гр.1).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16 декабря в крае назначены повторные выборы губернатора. </w:t>
      </w: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 намерены участвовать в голосовании?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Намерение голосовать на новых выборах сторонников основных кандидатов - участников второго тура отмененных выборов (мнение голосовавших за Ищенко и Тарасенко)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847725"/>
            <wp:effectExtent l="0" t="0" r="0" b="9525"/>
            <wp:docPr id="4" name="Рисунок 4" descr="http://cipkr.ru/wp-content/uploads/2018/10/PRIMORJE-opros2010-2018-1-300x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0/PRIMORJE-opros2010-2018-1-300x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видим, электорат Ищенко образца 16.09.2018 года уже более мобилизован, чем бывший электорат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Тарасенко.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Намерены участвовать в новом голосовании 81 процент сторонников Ищенко, голосовавших за него во втором туре.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 бывшего электората Тарасенко намерение голосовать тоже высокое, но пониже, чем у избирателей Ищенко (77 процентов).</w:t>
      </w:r>
    </w:p>
    <w:p w:rsidR="00134CF6" w:rsidRPr="00134CF6" w:rsidRDefault="00134CF6" w:rsidP="00134CF6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Оценка деятельности Кожемяко и Ищенко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942975"/>
            <wp:effectExtent l="0" t="0" r="0" b="9525"/>
            <wp:docPr id="3" name="Рисунок 3" descr="http://cipkr.ru/wp-content/uploads/2018/10/PRIMORJE-opros2010-2018-2-300x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0/PRIMORJE-opros2010-2018-2-300x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Респондентам традиционно задавался вопрос об оценке деятельности основных претендентов на губернаторство – кандидата КПРФ А. Ищенко (табл.3) и самовыдвиженца, члена руководящих органов «Единой России» О. Кожемяко (табл.2)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2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Президентом назначен временно исполняющим обязанности губернатора Приморья — Олега Кожемяко.</w:t>
      </w:r>
      <w:proofErr w:type="gramEnd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Как Вы оцениваете его деятельность?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3"/>
        <w:gridCol w:w="1611"/>
      </w:tblGrid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проц.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Положительная 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авнодушное отношение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нем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таком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/З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атрудняюсь ответить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Индекс восприятия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+5</w:t>
            </w:r>
          </w:p>
        </w:tc>
      </w:tr>
    </w:tbl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Осведомленность о деятельности Кожемяко очень высокая.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Новый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известная для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приморцев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фигура. Лишь каждый девятый респондент не мог составить о ней представление.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Позитив в деятельности Кожемяко видят 27 процентов опрошенных, негатив – 22 процента. Пока индекс позитивности восприятия плюс 5.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Благодаря участию в отмененных выборах и де-факто победе на них кандидат КПРФ Ищенко также хорошо известен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приморцам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Как Вы оцениваете деятельность бывшего кандидата в губернаторы от КПРФ Андрея Ищенко?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2"/>
        <w:gridCol w:w="2036"/>
        <w:gridCol w:w="2036"/>
      </w:tblGrid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/В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проц.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18-20.10.2018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26-28.08.2018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Положительная 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оценка. Равнодушное отношение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нем мало знаю.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таком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/З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атрудняюсь ответить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Индекс восприятия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+6</w:t>
            </w:r>
          </w:p>
        </w:tc>
      </w:tr>
    </w:tbl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Сравним индекс восприятие нового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и потенциального кандидата КПРФ (рассчитывается как разность между позитивными и негативными оценками деятельности). Как видно, </w:t>
      </w: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 Ищенко индекс восприятия почти в два раза выше</w:t>
      </w: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чем у Кожемяко</w:t>
      </w: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(гр.2).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Индекс восприятия основных претендентов на пост губернатора Приморского края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171575"/>
            <wp:effectExtent l="0" t="0" r="0" b="9525"/>
            <wp:docPr id="2" name="Рисунок 2" descr="http://cipkr.ru/wp-content/uploads/2018/10/PRIMORJE-opros2010-2018-3-300x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10/PRIMORJE-opros2010-2018-3-300x1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Заметим, что </w:t>
      </w: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у </w:t>
      </w:r>
      <w:proofErr w:type="spellStart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индекс восприятия такой же, как и у его предшественника Тарасенко за две недели до первого тура выборов</w:t>
      </w: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См. отчет об опросе ЦИПКР </w:t>
      </w:r>
      <w:hyperlink r:id="rId9" w:history="1">
        <w:r w:rsidRPr="00134CF6">
          <w:rPr>
            <w:rFonts w:ascii="Arial" w:eastAsia="Times New Roman" w:hAnsi="Arial" w:cs="Arial"/>
            <w:i/>
            <w:iCs/>
            <w:color w:val="1155CC"/>
            <w:sz w:val="21"/>
            <w:szCs w:val="21"/>
            <w:u w:val="single"/>
            <w:lang w:eastAsia="ru-RU"/>
          </w:rPr>
          <w:t>РОПРИМ-ЦИПКР-28082018 от 26-28.08.2018 (робот)</w:t>
        </w:r>
      </w:hyperlink>
    </w:p>
    <w:p w:rsidR="00134CF6" w:rsidRPr="00134CF6" w:rsidRDefault="00134CF6" w:rsidP="00134CF6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Про ход избирательной кампании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Учитывая, что в ходе де-факто идущей избирательной кампании общественному мнению Приморья предлагаются те или иные политические решения, в ходе опроса было замерено отношение жителей края к различным политическим инициативам.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Например,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стал активно реализовывать предвыборные обещания кандидата КПРФ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А.Ищенко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высказанные им еще в ходе предыдущих выборов.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губернатора Кожемяко приступил к реализации выборных обещаний Ищенко – возвращает выборность мэров</w:t>
      </w:r>
      <w:proofErr w:type="gramStart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  <w:proofErr w:type="gramEnd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gramStart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</w:t>
      </w:r>
      <w:proofErr w:type="gramEnd"/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водит льготы детям войны. Ваше мнение?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8"/>
        <w:gridCol w:w="2506"/>
      </w:tblGrid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проц.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Он поступает правильно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 все равно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Это предвыборная 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показуха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</w:tbl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Да,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от таких действий получил определенный позитив. Но не смог рассеять недоверие большинства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приморцев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Каждый второй воспринимает эти позитивные шаги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как «предвыборную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показуху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Забегая вперед отметим, что «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показухой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эти действия назвали 70 процентов сторонников Ищенко и 17 процентов сторонников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Кожемяко, а также 49 процентов неопределившихся. По сути дела,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получил поддержку только в собственном электорате – 67 процентов его сторонников расценили такие действия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правильными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остальных группах избирателей уровень одобрения- 15-20 процентов.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Респондентам также были заданы вопросы по поводу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различных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информационных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вбросов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ходу выборной кампании.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Например, традиционная тема пересудов приморских СМИ о том, что власти края не допустят кандидата Ищенко до выборов, так как создадут препятствия для преодоления муниципального фильтра (табл.4).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4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СМИ предполагают, что власть не зарегистрирует для участия в новых губернаторских выборах кандидата КПРФ Ищенко. Если это произойдет, и Ищенко не допустят до выборов, то каково Ваше мнение?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3064"/>
      </w:tblGrid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проц.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Это будет правильно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Это не правильно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Буду протестовать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 все равно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</w:tbl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видим, только каждый шестой избиратель полагает, что такие действия команды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будут правильными. Почти половина опрошенных (в сумме 47 процентов) заявляют, что исключение Ищенко из предвыборной гонки будет не правильным поступком и намерены протестовать. Да, на решительные действия - выйти на протест готовы 11 процентов опрошенных, но этого достаточно для массовой уличной активности.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Заметим, что даже среди сторонников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Кожемяко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недопуск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его оппонента Ищенко к выборам правильным называет только каждый четвертый. Среди других групп электората этот показатель 8-15 процентов.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 вот активно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протестовать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намерен не только электорат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А.Ищенко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но и представители других партий и даже 1 процент сторонников Кожемяко, а также 10 процентов заявивших, что на выборы не пойдут.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Интересна реакция избирателей на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вбросы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Ищенко предложены «теплые места» во власти в обмен на отказ от участия в выборах (табл.5).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5.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СМИ также распространяет информацию о якобы предложении к Ищенко стать вице-губернатором в обмен на неучастие в выборах. Как Вы отнесетесь к такому развитию событий?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4"/>
        <w:gridCol w:w="1920"/>
      </w:tblGrid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проц.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Правильно сделает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покажут свою продажность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 все равно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</w:tbl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Две пятых опрошенных не смогли сформулировать свое отношение к перспективе отказа Ищенко от участия в предвыборной гонке. А вот соотношение сторонников и противников таких действий кандидата-коммуниста выглядит как 1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: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 в пользу противников.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оказалось, 17 процентов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приморцев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одобрили такую перспективу. Среди сторонников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О.Кожемяко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потенциального кандидата ЛДПР А. Андрейченко таких каждый четвертый. И это понятно – уйдет серьезный конкурент.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 вот о «продажности» при таком гипотетическом сценарии заявляет почти две трети потенциальных избирателей Ищенко и более четверти избирателей Кожемяко. Как видно, при подобном сценарии кандидата Ищенко не поймут избиратели ни того, ни другого политического лагеря.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половина избирателей видит предвыборную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показуху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действиях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Кожемяко, пытающегося перетянуть на себя важные инициативы своего оппонента Ищенко. При этом негативное отношение к сценарию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недопуска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Ищенко к участию в выборах разделяет также почти половина избирателей (47 процентов). При этом каждый девятый избиратель намерен активно протестовать против такого развития событий, что вполне достаточно для массовой уличной активности.</w:t>
      </w:r>
    </w:p>
    <w:p w:rsidR="00134CF6" w:rsidRPr="00134CF6" w:rsidRDefault="00134CF6" w:rsidP="00134CF6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 Предвыборные рейтинги на старте кампании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647700"/>
            <wp:effectExtent l="0" t="0" r="0" b="0"/>
            <wp:docPr id="1" name="Рисунок 1" descr="http://cipkr.ru/wp-content/uploads/2018/10/PRIMORJE-opros2010-2018-4-300x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10/PRIMORJE-opros2010-2018-4-300x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исследования в качестве модели предстоящего первого тура выборов в опросный лист были внесены все участники первого тура прошлых выборов, а также новые кандидаты. Как известно, заявился на участие в выборах известный столичный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спойлер-экологист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Митволь и получивший российское гражданство голливудский актер Стивен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игал.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Жителям Приморья был задан соответствующий вопрос, чтобы выяснить их отношение к гипотетическому составу кандидатов в губернаторы (табл.5).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5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Если бы выборы губернатора состоялись завтра, то за кого из возможных кандидатов Вы бы проголосовали?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3748"/>
        <w:gridCol w:w="2056"/>
        <w:gridCol w:w="1570"/>
      </w:tblGrid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В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проц.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Только от голосующих (модель пропорционального распределения голосов </w:t>
            </w:r>
            <w:proofErr w:type="spell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неопредлившихся</w:t>
            </w:r>
            <w:proofErr w:type="spell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От 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намеренных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участвовать в голосовании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 всех опрошенных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Андрейченко Андрей, депутат </w:t>
            </w:r>
            <w:proofErr w:type="spell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Гос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.Д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умы</w:t>
            </w:r>
            <w:proofErr w:type="spell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(ЛДПР)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Ищенко Андрей. </w:t>
            </w:r>
            <w:proofErr w:type="spell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ген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.д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</w:t>
            </w:r>
            <w:proofErr w:type="spell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ООО Строительная компания «Аврора-Строй» (КПРФ)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Кожемяко Олег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ременно исполняющий обязанности губернатора. самовыдвиженец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Козицкий Алексей. депутат </w:t>
            </w:r>
            <w:proofErr w:type="spell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зак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.с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</w:t>
            </w:r>
            <w:proofErr w:type="spell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Края (Справедливая Россия)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Митволь Олег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кологическая партия «Зеленые»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Сигал Стивен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мериканский актер. спецпредставитель МИД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Толмачева Юлия. коллегии адвокатов (партия пенсионеров за </w:t>
            </w:r>
            <w:proofErr w:type="spell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соц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.с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</w:t>
            </w:r>
            <w:proofErr w:type="spell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 решил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 определился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/И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спорчу бюллетень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скажу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</w:tbl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лидирует в первом туре по предпочтениям избирателей Андрей Ищенко: 30 процентов от всех избирателей и 41 прогнозный процент при гипотетическом голосовании в первом туре, когда предпочтения неопределившихся пропорционально распределяются среди всех кандидатов. Рейтинг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О. Кожемяко – 22 процента от всех опрошенных и 30 процентов прогнозный.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Гипотетический участник первого тура голливудский актер Стивен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игал может набрать от 10 до 12 процентов поддержки. Заметим, что за него намерен голосовать каждый четвертый сторонник ЛДПР, 8 процентов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«Единой России» и каждый шестой избиратель, выбирающий «другую партию».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Столичный эколог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О.Митволь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впечатлил приморского избирателя. Его рейтинг ниже 1%.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Традиционные участники выборов – представитель ЛДПР А. Андрейченко, кандидат от эсеров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А.Козицкий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представительница «справедливых пенсионеров»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Ю.Толмачева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имеют поддержку на уровне 5-6 процентов избирателей.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любом случае, при нынешнем уровне лидерских симпатий в Приморье опять прогнозируется второй тур выборов.</w:t>
      </w:r>
    </w:p>
    <w:p w:rsidR="00134CF6" w:rsidRPr="00134CF6" w:rsidRDefault="00134CF6" w:rsidP="00134CF6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 Про партийные предпочтения жителей Приморского края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Респондентам в ходе опроса был задан традиционный опрос о партийных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предпочтениях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случае если завтра состояться выборы в Государственную Думу (табл. 6)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и в августовском опросе подтвердился вывод: острая политическая борьба на губернаторских выборах стала отражением серьезных изменений в партийно-политических симпатиях жителей Приморского края по сравнению с тем раскладом, что был зафиксирован на выборах в Государственную Думу два года назад.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6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Если бы завтра прошли выборы в Государственную Думу, то за список какой партии Вы бы проголосовали?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6"/>
        <w:gridCol w:w="2409"/>
        <w:gridCol w:w="2409"/>
      </w:tblGrid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/В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проц.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18-20.10.2018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26-28.08.2018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другую партию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/И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спорчу бюллетень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134CF6" w:rsidRPr="00134CF6" w:rsidTr="00134C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</w:t>
            </w:r>
            <w:proofErr w:type="gramStart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Н</w:t>
            </w:r>
            <w:proofErr w:type="gramEnd"/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 скажу/ 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4CF6" w:rsidRPr="00134CF6" w:rsidRDefault="00134CF6" w:rsidP="00134CF6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134CF6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</w:tbl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жители Приморского края теперь отдают предпочтение не «Единой России», а КПРФ. Рейтинг соответственно 24 и 30 процентов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ри этом разрыв в пользу КПРФ увеличился по сравнению с августовским замером с 3 до 6 процентов.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«При своих» осталась ЛДПР – 12 процентов. Ниже грани преодоления барьера в Приморье «Справедливая Россия» - 3 процента.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Особо следует отметить, что выявленное в августовском опросе желание избирателей голосовать за «другую партию», не представленную в «меню существующих» сохранилось - 9 процентов. Это явление ЦИПКР уже отмечал по итогам исследований в ряде других регионов.</w:t>
      </w:r>
    </w:p>
    <w:p w:rsidR="00134CF6" w:rsidRPr="00134CF6" w:rsidRDefault="00134CF6" w:rsidP="00134CF6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34C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 Некоторые выводы</w:t>
      </w:r>
    </w:p>
    <w:p w:rsidR="00134CF6" w:rsidRPr="00134CF6" w:rsidRDefault="00134CF6" w:rsidP="00134CF6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Явка на повторных выборах в Приморье ожидается не ниже, чем было во втором туре отмененных выборов губернатора (40-44 процента). При этом следует отметить, что электорат кандидата-коммуниста Ищенко образца 16.09.2018 года уже более мобилизован, чем бывший электорат партии власти, группировавшийся вокруг прежнего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Тарасенко.</w:t>
      </w:r>
    </w:p>
    <w:p w:rsidR="00134CF6" w:rsidRPr="00134CF6" w:rsidRDefault="00134CF6" w:rsidP="00134CF6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Оба основных кандидата – Ищенко и Кожемяко – широко известны избирателям. У каждого заметный рейтинг одобрения и неодобрения. Но при этом у кандидата Ищенко индекс позитивности восприятия почти в два раза выше, чем у Кожемяко. Заметим, что у нового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индекс восприятия такой же, как и у его предшественника Тарасенко за две недели до первого тура выборов.</w:t>
      </w:r>
    </w:p>
    <w:p w:rsidR="00134CF6" w:rsidRPr="00134CF6" w:rsidRDefault="00134CF6" w:rsidP="00134CF6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Половина избирателей видит предвыборную 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показуху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действиях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Кожемяко, пытающегося перетянуть на себя важные инициативы своего оппонента Ищенко. При этом негативное отношение к сценарию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недопуска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Ищенко к участию в выборах разделяет также почти половина избирателей (47 процентов). При этом каждый девятый избиратель намерен активно протестовать против такого развития событий, что вполне достаточно для массовой уличной активности.</w:t>
      </w:r>
    </w:p>
    <w:p w:rsidR="00134CF6" w:rsidRPr="00134CF6" w:rsidRDefault="00134CF6" w:rsidP="00134CF6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Лидирует в первом туре по предпочтениям избирателей Андрей Ищенко: 30 процентов от всех избирателей и 41 прогнозный процент при гипотетическом голосовании в первом туре, когда предпочтения неопределившихся пропорционально распределяются среди всех кандидатов. Рейтинг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О. Кожемяко – 22 процента от всех опрошенных и 30 процентов прогнозный. Гипотетический участник первого тура голливудский актер Стивен</w:t>
      </w:r>
      <w:proofErr w:type="gram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</w:t>
      </w:r>
      <w:proofErr w:type="gram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игал может набрать от 10 до 12 процентов поддержки. Заметим, что за него намерен голосовать каждый четвертый сторонник ЛДПР, 8 процентов </w:t>
      </w:r>
      <w:proofErr w:type="spellStart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«Единой России» и каждый шестой избиратель, выбирающий «другую партию».</w:t>
      </w:r>
    </w:p>
    <w:p w:rsidR="00134CF6" w:rsidRPr="00134CF6" w:rsidRDefault="00134CF6" w:rsidP="00134CF6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нынешнем уровне лидерских симпатий и широком составе участников в Приморье опять прогнозируется второй тур выборов.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Исполнители исследования: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Полевые работы – </w:t>
      </w:r>
      <w:r w:rsidRPr="00134CF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Е.В. Козин</w:t>
      </w: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 </w:t>
      </w:r>
      <w:r w:rsidRPr="00134CF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Е.Б. </w:t>
      </w:r>
      <w:proofErr w:type="spellStart"/>
      <w:r w:rsidRPr="00134CF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кандидат политических наук,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Фокина Н.В</w:t>
      </w: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., консультант, </w:t>
      </w:r>
      <w:r w:rsidRPr="00134CF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 Обухов</w:t>
      </w: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 – </w:t>
      </w:r>
      <w:proofErr w:type="spellStart"/>
      <w:r w:rsidRPr="00134CF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134CF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кампаний, Центр исследований политической культуры России, Отел ЦК КПРФ по информационным технологиям</w:t>
      </w:r>
    </w:p>
    <w:p w:rsidR="00134CF6" w:rsidRPr="00134CF6" w:rsidRDefault="00134CF6" w:rsidP="00134CF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34CF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22 октября 2018 года.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74DEC"/>
    <w:multiLevelType w:val="multilevel"/>
    <w:tmpl w:val="1BAC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F6"/>
    <w:rsid w:val="00051949"/>
    <w:rsid w:val="00134CF6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134C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4C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CF6"/>
    <w:rPr>
      <w:b/>
      <w:bCs/>
    </w:rPr>
  </w:style>
  <w:style w:type="character" w:styleId="a5">
    <w:name w:val="Emphasis"/>
    <w:basedOn w:val="a0"/>
    <w:uiPriority w:val="20"/>
    <w:qFormat/>
    <w:rsid w:val="00134CF6"/>
    <w:rPr>
      <w:i/>
      <w:iCs/>
    </w:rPr>
  </w:style>
  <w:style w:type="character" w:styleId="a6">
    <w:name w:val="Hyperlink"/>
    <w:basedOn w:val="a0"/>
    <w:uiPriority w:val="99"/>
    <w:semiHidden/>
    <w:unhideWhenUsed/>
    <w:rsid w:val="00134C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134C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4C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CF6"/>
    <w:rPr>
      <w:b/>
      <w:bCs/>
    </w:rPr>
  </w:style>
  <w:style w:type="character" w:styleId="a5">
    <w:name w:val="Emphasis"/>
    <w:basedOn w:val="a0"/>
    <w:uiPriority w:val="20"/>
    <w:qFormat/>
    <w:rsid w:val="00134CF6"/>
    <w:rPr>
      <w:i/>
      <w:iCs/>
    </w:rPr>
  </w:style>
  <w:style w:type="character" w:styleId="a6">
    <w:name w:val="Hyperlink"/>
    <w:basedOn w:val="a0"/>
    <w:uiPriority w:val="99"/>
    <w:semiHidden/>
    <w:unhideWhenUsed/>
    <w:rsid w:val="00134C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cipkr.ru/2018/09/03/primorskij-kraj-pered-vyborami-gubernatora-po-materialam-monitoringovogo-opro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2018-10-23T07:54:00Z</dcterms:created>
  <dcterms:modified xsi:type="dcterms:W3CDTF">2018-10-23T07:54:00Z</dcterms:modified>
</cp:coreProperties>
</file>