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Представляем некоторые материалы мониторингового опроса, проведенного ЦИПКР в Приморье за две недели до губернаторских выборов.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7"/>
          <w:szCs w:val="27"/>
          <w:lang w:eastAsia="ru-RU"/>
        </w:rPr>
        <w:drawing>
          <wp:inline distT="0" distB="0" distL="0" distR="0">
            <wp:extent cx="2857500" cy="1181100"/>
            <wp:effectExtent l="19050" t="0" r="0" b="0"/>
            <wp:docPr id="1" name="Рисунок 1" descr="http://cipkr.ru/wp-content/uploads/2018/09/primorje1-300x1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primorje1-300x1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Характеристика мониторингового опроса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настоящем докладе представлены данные инициативного опроса ЦИПКР: 500 респондентов, из всех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урбанострат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Приморского края. Доля респондентов по каждой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урбанострате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соответствует доле избирателей в общей структуре избирательного корпуса области.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Методы опроса: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РОПРИМ-ЦИПКР-16082018 от 26-28.07.2018 (робот) - </w:t>
      </w: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Приморского края. Доля стационарных телефонов – 25%, доля мобильных телефонов – 75%.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Анкета 11 вопросов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3 мин. 55 сек.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26-08-2018 по 28-08-2018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500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валидных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анкет (4% проходят анкетирование)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77593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14347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14234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14018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7196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Данные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Приморского края.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статистическая погрешность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опросах – 6,6 проц.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Намерение участвовать в выборах губернатора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предложили высказаться о намерениях участвовать в выборах в единый день голосования 9 сентября 2018 года (табл.1).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начале сентября в крае пройдут выборы губернатора.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9"/>
        <w:gridCol w:w="6161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 Б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сравнивать декларируемую явку на выборы в Приморье с соседними с регионами (по параллельным мониторинговым опросам ЦИПКР), то следует отметить более высокий уровень декларируемой явки, что не характерно для Приморья.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Видимо, опрос агрегировал ответы более-менее политически активных граждан. И не «зацепил» индифферентных, не ходящих на выборы избирателей.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Учитывая, что при телефонном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экспресс-опросе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высокий процент отказов от интервью, следует полагать, что здесь латентно находится значительная часть граждан, не желающих участвовать в выборах.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Эмпирически, по опыту подобных опросов, следует прогнозировать явку на треть ниже, чем декларируется участниками данного исследования, т.е. не на уровне 67 проц., а на уровне до 40 проц.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Проблемное поле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Респондентам в режиме открытого вопроса было предложено назвать ключевую проблему для Приморья. Набор ответов – традиционен для Дальнего Востока.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2.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Назовите, на Ваш взгляд, самую острую проблему в Приморье? (открытый вопрос)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3"/>
        <w:gridCol w:w="3087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«Убитые» дороги;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Низкие зарплаты и пенсии, бедность;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Безработица, проблемы с трудоустройством;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Низкое качество услуг ЖКХ, и высокие тарифы;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Неработающая промышленность;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Коррупция, неэффективное управление;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здравоохранения, нехватка врачей;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Экология, мусор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Ветхое жилье, капремонт, жилищная проблема;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 цен;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образования, нехватка школ и детсадов;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Пьянство, наркомания;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Невнимание к развитию сельского хозяйства;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Другие/ много / не могу сформулировать/ не знаю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первом месте респонденты называют проблему «убитых» дорог (35 проц.). На втором - низкие зарплаты и пенсии, бедность (11 проц.). На третьем - проблемы безработицы, трудоустройства (8 проц. мнений).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Далее – проблемы ЖКХ (5 проц.), неработающая промышленность (4 проц.) и коррупция, проблемы здравоохранения, нехватки врачей, экология и мусор (по 3 проц.).</w:t>
      </w:r>
      <w:proofErr w:type="gramEnd"/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Остальные проблемы – носят для массового сознания фоновый характер.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Понятно, что режим открытого вопроса выдает проблематику региона только в самом общем виде.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ходе исследования был оценен масштаб протестной активности в связи с общефедеральным недовольством предстоящей пенсионной реформой.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Общефедеральные исследования показывают, что зона одобрения правительственной пенсионной реформы составляет только 10 проц. Еще примерно столько же граждан согласны на реформу при условии частичных уступок со стороны правительства.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показало и приморское, и общефедеральное исследования, жители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представляют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кто из политических сил активнее всего выражает их недовольство (гр.1).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жителей Приморья –28 проц. – называет в числе главных оппонентов пенсионной реформы партию КПРФ.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Далее по степени активности – ЛДПР (8 проц. мнений).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мнению 2 проц. опрошенных среди оппонентов реформы … «Единая Россия», один из «столпов», поддерживающих правительственную инициативу.</w:t>
      </w:r>
      <w:proofErr w:type="gramEnd"/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Считают партию «Справедливая Россия» главным оппонентом реформы – 3 проц. У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«К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оммунистов России» - 1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Сегодня много нареканий вызывает правительственная пенсионная реформа. Какая из политических партий в Приморье активнее всего протестует против повышения пенсионного возраста?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628775"/>
            <wp:effectExtent l="19050" t="0" r="0" b="0"/>
            <wp:docPr id="2" name="Рисунок 2" descr="http://cipkr.ru/wp-content/uploads/2018/09/primorje-opros2-300x17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primorje-opros2-300x17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Если сравнивать партийные показатели в опросе по Приморью с общефедеральными данными, то здесь существенные различия. Преимущество К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в пр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отесте против пенсионной реформы не так заметно, как по общефедеральным данным (активность КПРФ в Приморье отметили 28 проц., а не общефедеральном уровне – 35). Более того, ниже общефедеральной активности против пенсионной реформы активность организации ЛДПР в Приморье (8 проц. против 10).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тем, при большом общественном резонансе пенсионной темы все же огромная масса избирателей дезориентирована. Более того, значительная доля избирателей – 20 проц. – вообще не видит протестной активности в регионе против пенсионной реформы. </w:t>
      </w:r>
      <w:r w:rsidRPr="0093501A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Зона общественного отчуждения от баталий вокруг пенсионной реформы в Приморье самая большая по данным различных региональных мониторингов – 57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традиционных «болевых точек», как общефедеральных, так и региональных в Приморье по просьбе регионального отделения КПРФ </w:t>
      </w: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было выяснено отношение жителей к важной экологической проблеме, которая влияет на жизнь портовых городов – распространение угольной пыли</w:t>
      </w: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(табл.3)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СМИ много пишут о негативных экологических последствиях распространения угольной пыли из торговых портов края. Насколько серьезно эта проблемы затрагивают вас и вашу семью?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6"/>
        <w:gridCol w:w="3324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Очень болезненно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Чувствительно для семьи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Пережить это можно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Вообще не затрагивают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проблемах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Только для четвертой части жителей края вышеуказанная проблема оказалась существенной. Для двух третей проблема оказалась малочувствительна.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4. Отношение к итогам деятельности временно исполняющего обязанности губернатора Приморья Андрея </w:t>
      </w:r>
      <w:proofErr w:type="spellStart"/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Тарасенко</w:t>
      </w:r>
      <w:proofErr w:type="spellEnd"/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Часть исследования была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посвящен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определению отношения жителей республики к деятельности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(табл.4).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Временно исполняющим обязанности губернатора Приморья президентом назначен Андрей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Тарасенко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Как Вы оцениваете его деятельность?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2"/>
        <w:gridCol w:w="3548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 Б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восприятия деятельности главы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+5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отношение к деятельности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настороженно-позитивное. Индекс позитивности восприятия нового главы региона плюс 5. Это не много для старта деятельности, но и не катастрофично.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5. Отношение к молодым лидерам КПРФ Анатолию </w:t>
      </w:r>
      <w:proofErr w:type="spellStart"/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Долгачеву</w:t>
      </w:r>
      <w:proofErr w:type="spellEnd"/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Андрею Ищенко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ходе исследования было выявлено отношение избирателей к деятельности молодых политиков-коммунистов Анатолия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Долгачева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(табл.5), руководителя регионального отделения КПРФ и кандидата от КПРФ на пост губернатора Андрея Ищенко (табл.6)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Как видно, позитивно относятся к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А.Долгачеву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12 проц. избирателей, негативно – 6. Зона индифферентного отношения – 57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Вы оцениваете деятельность молодого руководителя К</w:t>
      </w:r>
      <w:proofErr w:type="gram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ПРФ в Пр</w:t>
      </w:r>
      <w:proofErr w:type="gram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иморье, депутата Законодательного собрания Анатолия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Долгачева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2"/>
        <w:gridCol w:w="3548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 Б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 восприятия: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+6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Индекс восприятия молодого лидера регионального отделения КПРФ – умеренно-позитивный – плюс 6.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табл., позитивно относятся к кандидату в губернаторы от коммунистов А.Ищенко 17 проц. избирателей, негативно – 13. Зона индифферентного отношения – 52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6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Вы оцениваете деятельность кандидата в губернаторы, генерального директор</w:t>
      </w:r>
      <w:proofErr w:type="gram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ООО</w:t>
      </w:r>
      <w:proofErr w:type="gram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Строительная компания «Аврора-Строй» Андрея Ищенко?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2"/>
        <w:gridCol w:w="3548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26-28.08.2018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 Б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 восприятия: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+6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Индекс восприятия кандидата в губернаторы от КПРФ – умеренно-позитивный – плюс 4.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сравнивать индексы восприятия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и молодых лидеров К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иморского краевого отделения, то пока в небольшом выигрыше молодые политики (гр. 3).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Соотношение индексов восприятия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Приморья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молодых лидеров К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кр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Долгачеву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Ищенко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молодые политики-коммунисты в таком же небольшом позитиве, что и новоназначенного главы региона.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Соотношение лидерского потенциала: рейтинг кандидатов на пост губернатора Приморья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ходе опроса традиционно респондентам задавался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вопрос про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электоральные симпатии к тем или иным кандидатам на пост губернатора Приморья (табл.7).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7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бы эти выборы губернатора Приморья состоялись завтра, то за кого из кандидатов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8"/>
        <w:gridCol w:w="2091"/>
        <w:gridCol w:w="2281"/>
      </w:tblGrid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всех опрошенных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 (в проц.)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Андрейченко</w:t>
            </w:r>
            <w:proofErr w:type="spellEnd"/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Андрей Валерьевич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, депутат Государственной 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Думы, партия 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Ищенко Андрей Сергеевич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генеральный директор ООО Строительная компания «Аврора-Строй», партия 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Козицкий Алексей Анатольевич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депутат Законодательного Собрания Приморского края, партия 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Тарасенко</w:t>
            </w:r>
            <w:proofErr w:type="spellEnd"/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Андрей Владимирович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временно исполняющий обязанности Губернатора Приморского края, партия 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37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Толмачева Юлия Владимировна</w:t>
            </w: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председатель Коллегии адвокатов «Толмачева и компания», Российская партия пенсионеров за социальную справедливость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3501A" w:rsidRPr="0093501A" w:rsidTr="00935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</w:t>
            </w:r>
            <w:proofErr w:type="gramStart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И</w:t>
            </w:r>
            <w:proofErr w:type="gramEnd"/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ное/ Без ответа.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01A" w:rsidRPr="0093501A" w:rsidRDefault="0093501A" w:rsidP="0093501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3501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от всех опрошенных наивысший рейтинг имеет новоназначенный глава региона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(31 проц.). Известная в регионе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гражданская активистка, идущая на выборы от Российской партии пенсионеров за социальную справедливость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Ю.Томачева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кандидат КПРФ А.Ищенко сражаются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вторую позицию (по 15 проц.). Представитель ЛДПР, депутат Госдумы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А.Андрейченко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четвертый (9 проц.). Замыкает – представитель «Справедливой России» А.Козицкий – 4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анализировать ответы респондентов с точки зрения только намеренных участвовать в выборах, то рейтинговая ситуация меняется не сильно.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Много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неопределившихся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Даже среди тех, кто говорит, что пойдет на выборы – 21 проц.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 многое зависит от финиша кампании.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Тем более, что если предположить, что все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неопределившиеся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пропорционально отдадут свои голоса в соответствии с нынешним уровнем поддержки действующих кандидатов, то у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ситуация довольно непростая – расчетный рейтинг в первом туре – 47 проц. А это на грани…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Поэтому в Приморье можно предположить возможность ситуации второго тура выборов. Здесь оппонентами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могут быть либо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Ю.</w:t>
      </w:r>
      <w:proofErr w:type="gram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Томачева</w:t>
      </w:r>
      <w:proofErr w:type="spellEnd"/>
      <w:proofErr w:type="gram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либо А.Ищенко из КПРФ.</w:t>
      </w:r>
    </w:p>
    <w:p w:rsidR="0093501A" w:rsidRPr="0093501A" w:rsidRDefault="0093501A" w:rsidP="0093501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сравнивать декларируемую явку на выборы в Приморье с соседними с регионами (по параллельным мониторинговым опросам ЦИПКР), то следует отметить чуть более высокий уровень декларируемой явки, что не характерно для Приморья.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Эмпирически, по опыту подобных опросов, следует прогнозировать явку на треть ниже, чем декларируется участниками данного исследования, т.е. не на уровне 67 проц., а на уровне до 40 проц.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Проблемное поле региона стандартное. На первом месте респонденты называют проблему «убитых» дорог (35 проц.). На втором - низкие зарплаты и пенсии, бедность (11 проц.). На третьем - проблемы безработицы, трудоустройства (8 проц. мнений).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– проблемы ЖКХ (5 проц.), неработающая промышленность (4 проц.) и коррупция, проблемы здравоохранения, нехватки врачей, экология и мусор (по 3 проц.).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Остальные проблемы – носят для массового сознания фоновый характер.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Относительное большинство жителей Приморья –28 проц. – называет в числе главных оппонентов пенсионной реформы партию КПРФ. Далее по степени активности – ЛДПР (8 проц. мнений).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мнению 2 проц. опрошенных среди оппонентов реформы … «Единая Россия», один из «столпов», поддерживающих правительственную инициативу.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 партию «Справедливая Россия» главным оппонентом реформы – 3 проц. У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«К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оммунистов России» - 1 проц.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Вместе с тем, при большом общественном резонансе пенсионной темы все же огромная масса избирателей дезориентирована.</w:t>
      </w: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Более того, значительная доля избирателей – 20 проц. – вообще не видит протестной активности в регионе против пенсионной реформы. </w:t>
      </w:r>
      <w:r w:rsidRPr="0093501A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З</w:t>
      </w:r>
      <w:r w:rsidRPr="0093501A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она общественного отчуждения от баталий вокруг пенсионной реформы в Приморье самая большая по данным различных региональных мониторингов – 57 проц.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было выяснено отношение жителей к важной экологической проблеме, которая влияет на жизнь портовых городов – распространение угольной пыли.</w:t>
      </w: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Только для четвертой части жителей края вышеуказанная проблема оказалась существенной. Для двух третей проблема оказалась малочувствительна.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Отношение к деятельности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настороженно-позитивное. Индекс позитивности восприятия нового главы региона плюс 5. </w:t>
      </w: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Это не много для старта деятельности</w:t>
      </w: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ходе исследования было выявлено отношение избирателей к деятельности молодых политиков-коммунистов Анатолия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Долгачева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руководителя регионального отделения КПРФ и кандидата от КПРФ на пост губернатора Андрея Ищенко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озитивно относятся к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А.Долгачеву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12 проц. избирателей, негативно – 6. Зона индифферентного отношения – 57 проц. позитивно относятся к кандидату в губернаторы от коммунистов А.Ищенко 17 проц. избирателей, негативно – 13. Зона индифферентного отношения – 52 проц.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сравнивать индексы восприятия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и молодых лидеров К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иморского краевого отделения, то пока в небольшом выигрыше молодые политики – у них индекс по плюс 6, у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плюс 5.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 всех опрошенных </w:t>
      </w: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наивысший рейтинг имеет новоназначенный глава региона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(31 проц</w:t>
      </w: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.). </w:t>
      </w: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Известная в регионе </w:t>
      </w:r>
      <w:proofErr w:type="gram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гражданская активистка, идущая на выборы от Российской партии пенсионеров за социальную справедливость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Ю.Томачева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кандидат КПРФ А.Ищенко сражаются</w:t>
      </w:r>
      <w:proofErr w:type="gram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вторую позицию (по 15 проц.). Представитель ЛДПР, депутат Госдумы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А.Андрейченко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четвертый (9 проц.). Замыкает – представитель «Справедливой России» А.Козицкий – 4 проц.</w:t>
      </w:r>
    </w:p>
    <w:p w:rsidR="0093501A" w:rsidRPr="0093501A" w:rsidRDefault="0093501A" w:rsidP="0093501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предположить, что все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неопределившиеся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пропорционально отдадут свои голоса в соответствии с нынешним уровнем поддержки действующих кандидатов, то у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</w:t>
      </w:r>
      <w:proofErr w:type="spellStart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А.Тарасенко</w:t>
      </w:r>
      <w:proofErr w:type="spellEnd"/>
      <w:r w:rsidRPr="009350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ситуация довольно непростая – расчетный рейтинг в первом туре – 47 проц. А это на грани… </w:t>
      </w:r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Поэтому в Приморье можно предположить возможность ситуации второго тура выборов. Здесь оппонентами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врио</w:t>
      </w:r>
      <w:proofErr w:type="spell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могут быть либо </w:t>
      </w:r>
      <w:proofErr w:type="spell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Ю.</w:t>
      </w:r>
      <w:proofErr w:type="gramStart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Томачева</w:t>
      </w:r>
      <w:proofErr w:type="spellEnd"/>
      <w:proofErr w:type="gramEnd"/>
      <w:r w:rsidRPr="0093501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либо А.Ищенко из КПРФ.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Исполнители исследования: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Полевые работы – </w:t>
      </w: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Е.В. Козин</w:t>
      </w: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зам</w:t>
      </w:r>
      <w:proofErr w:type="gramStart"/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.з</w:t>
      </w:r>
      <w:proofErr w:type="gramEnd"/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ав. Отделом информационных технологий ЦК КПРФ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Е.Б. </w:t>
      </w:r>
      <w:proofErr w:type="spellStart"/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Шабарова</w:t>
      </w:r>
      <w:proofErr w:type="spellEnd"/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кандидат политических наук, зам</w:t>
      </w:r>
      <w:proofErr w:type="gramStart"/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.з</w:t>
      </w:r>
      <w:proofErr w:type="gramEnd"/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ав. отделом ЦК КПРФ,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Фокина Н.В</w:t>
      </w: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., консультант ЦК КПРФ,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 Обухов</w:t>
      </w: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 </w:t>
      </w: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</w:t>
      </w:r>
      <w:r w:rsidRPr="0093501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lastRenderedPageBreak/>
        <w:t>Отел ЦК КПРФ по информационным технологиям</w:t>
      </w:r>
    </w:p>
    <w:p w:rsidR="0093501A" w:rsidRPr="0093501A" w:rsidRDefault="0093501A" w:rsidP="0093501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01A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28 августа 2018 года.</w:t>
      </w:r>
    </w:p>
    <w:p w:rsidR="00E83129" w:rsidRDefault="00E83129"/>
    <w:sectPr w:rsidR="00E83129" w:rsidSect="00E8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7F2A"/>
    <w:multiLevelType w:val="multilevel"/>
    <w:tmpl w:val="0462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1A"/>
    <w:rsid w:val="0093501A"/>
    <w:rsid w:val="00E8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29"/>
  </w:style>
  <w:style w:type="paragraph" w:styleId="4">
    <w:name w:val="heading 4"/>
    <w:basedOn w:val="a"/>
    <w:link w:val="40"/>
    <w:uiPriority w:val="9"/>
    <w:qFormat/>
    <w:rsid w:val="009350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50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01A"/>
    <w:rPr>
      <w:b/>
      <w:bCs/>
    </w:rPr>
  </w:style>
  <w:style w:type="character" w:styleId="a5">
    <w:name w:val="Emphasis"/>
    <w:basedOn w:val="a0"/>
    <w:uiPriority w:val="20"/>
    <w:qFormat/>
    <w:rsid w:val="009350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9/primorje-opros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ipkr.ru/wp-content/uploads/2018/09/primorje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2387</Words>
  <Characters>13608</Characters>
  <Application>Microsoft Office Word</Application>
  <DocSecurity>0</DocSecurity>
  <Lines>113</Lines>
  <Paragraphs>31</Paragraphs>
  <ScaleCrop>false</ScaleCrop>
  <Company/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2018-09-03T23:56:00Z</dcterms:created>
  <dcterms:modified xsi:type="dcterms:W3CDTF">2018-09-03T23:56:00Z</dcterms:modified>
</cp:coreProperties>
</file>